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B1" w:rsidRDefault="00AE06B1" w:rsidP="00AE06B1">
      <w:bookmarkStart w:id="0" w:name="_GoBack"/>
    </w:p>
    <w:p w:rsidR="00AE06B1" w:rsidRDefault="00AE06B1" w:rsidP="00AE06B1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AE06B1" w:rsidTr="00AE06B1">
        <w:trPr>
          <w:jc w:val="center"/>
        </w:trPr>
        <w:tc>
          <w:tcPr>
            <w:tcW w:w="9600" w:type="dxa"/>
            <w:tcBorders>
              <w:top w:val="single" w:sz="36" w:space="0" w:color="002060"/>
              <w:left w:val="single" w:sz="36" w:space="0" w:color="002060"/>
              <w:bottom w:val="single" w:sz="36" w:space="0" w:color="002060"/>
              <w:right w:val="single" w:sz="36" w:space="0" w:color="002060"/>
            </w:tcBorders>
          </w:tcPr>
          <w:p w:rsidR="00AE06B1" w:rsidRDefault="00AE06B1">
            <w:pPr>
              <w:rPr>
                <w:rFonts w:ascii="Georgia" w:hAnsi="Georgia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6029325" cy="790575"/>
                  <wp:effectExtent l="0" t="0" r="9525" b="9525"/>
                  <wp:docPr id="4" name="Picture 4" descr="cid:image001.jpg@01D2A958.8799B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2A958.8799B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2"/>
              <w:gridCol w:w="4588"/>
            </w:tblGrid>
            <w:tr w:rsidR="00AE06B1" w:rsidRPr="00AE06B1">
              <w:tc>
                <w:tcPr>
                  <w:tcW w:w="46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6B1" w:rsidRPr="00AE06B1" w:rsidRDefault="00AE06B1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E06B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For Immediate Release:</w:t>
                  </w:r>
                </w:p>
              </w:tc>
              <w:tc>
                <w:tcPr>
                  <w:tcW w:w="46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6B1" w:rsidRPr="00AE06B1" w:rsidRDefault="00AE06B1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E06B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Contact: </w:t>
                  </w:r>
                  <w:hyperlink r:id="rId6" w:history="1">
                    <w:r w:rsidRPr="00AE06B1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Megan Taylor</w:t>
                    </w:r>
                  </w:hyperlink>
                </w:p>
              </w:tc>
            </w:tr>
            <w:tr w:rsidR="00AE06B1" w:rsidRPr="00AE06B1">
              <w:trPr>
                <w:trHeight w:val="198"/>
              </w:trPr>
              <w:tc>
                <w:tcPr>
                  <w:tcW w:w="46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6B1" w:rsidRPr="00AE06B1" w:rsidRDefault="00270BE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May 1</w:t>
                  </w:r>
                  <w:r w:rsidR="00AE06B1" w:rsidRPr="00AE06B1">
                    <w:rPr>
                      <w:rFonts w:ascii="Times New Roman" w:hAnsi="Times New Roman"/>
                      <w:sz w:val="24"/>
                      <w:szCs w:val="24"/>
                    </w:rPr>
                    <w:t>, 2017</w:t>
                  </w:r>
                </w:p>
              </w:tc>
              <w:tc>
                <w:tcPr>
                  <w:tcW w:w="46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6B1" w:rsidRPr="00AE06B1" w:rsidRDefault="00AE06B1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E06B1">
                    <w:rPr>
                      <w:rFonts w:ascii="Times New Roman" w:hAnsi="Times New Roman"/>
                      <w:sz w:val="24"/>
                      <w:szCs w:val="24"/>
                    </w:rPr>
                    <w:t>202-224-6244</w:t>
                  </w:r>
                </w:p>
              </w:tc>
            </w:tr>
          </w:tbl>
          <w:p w:rsidR="00AE06B1" w:rsidRPr="00AE06B1" w:rsidRDefault="00AE06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70BEB" w:rsidRDefault="00270BEB" w:rsidP="00270BEB">
            <w:pPr>
              <w:spacing w:line="252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Heller: Important Nevada Land Programs Remain Intact </w:t>
            </w:r>
          </w:p>
          <w:p w:rsidR="00A51D89" w:rsidRPr="001829FF" w:rsidRDefault="00A51D89" w:rsidP="001829FF">
            <w:pPr>
              <w:spacing w:line="252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829FF" w:rsidRPr="00FE0455" w:rsidRDefault="001829FF" w:rsidP="001E05AE">
            <w:pPr>
              <w:rPr>
                <w:rFonts w:ascii="Times New Roman" w:hAnsi="Times New Roman"/>
                <w:sz w:val="24"/>
                <w:szCs w:val="24"/>
              </w:rPr>
            </w:pPr>
            <w:r w:rsidRPr="00FE0455">
              <w:rPr>
                <w:rFonts w:ascii="Times New Roman" w:hAnsi="Times New Roman"/>
                <w:b/>
                <w:bCs/>
                <w:sz w:val="24"/>
                <w:szCs w:val="24"/>
              </w:rPr>
              <w:t>Washington, D.C.</w:t>
            </w:r>
            <w:r w:rsidRPr="00FE0455">
              <w:rPr>
                <w:rFonts w:ascii="Times New Roman" w:hAnsi="Times New Roman"/>
                <w:sz w:val="24"/>
                <w:szCs w:val="24"/>
              </w:rPr>
              <w:t xml:space="preserve"> – Today, U</w:t>
            </w:r>
            <w:r w:rsidR="00270BEB" w:rsidRPr="00FE0455">
              <w:rPr>
                <w:rFonts w:ascii="Times New Roman" w:hAnsi="Times New Roman"/>
                <w:sz w:val="24"/>
                <w:szCs w:val="24"/>
              </w:rPr>
              <w:t xml:space="preserve">.S. Senator Dean Heller (R-NV) is pleased to announce that the </w:t>
            </w:r>
            <w:r w:rsidR="00071CD2">
              <w:rPr>
                <w:rFonts w:ascii="Times New Roman" w:hAnsi="Times New Roman"/>
                <w:sz w:val="24"/>
                <w:szCs w:val="24"/>
              </w:rPr>
              <w:t>2017 Fiscal Year</w:t>
            </w:r>
            <w:r w:rsidR="00270BEB" w:rsidRPr="00FE0455">
              <w:rPr>
                <w:rFonts w:ascii="Times New Roman" w:hAnsi="Times New Roman"/>
                <w:sz w:val="24"/>
                <w:szCs w:val="24"/>
              </w:rPr>
              <w:t xml:space="preserve"> budget proposed by the Trump Administration does not include any cuts to </w:t>
            </w:r>
            <w:r w:rsidR="001E05AE" w:rsidRPr="001E05AE">
              <w:rPr>
                <w:rFonts w:ascii="Times New Roman" w:hAnsi="Times New Roman"/>
                <w:sz w:val="24"/>
                <w:szCs w:val="24"/>
              </w:rPr>
              <w:t>Southern Nevada Public Land Management Act</w:t>
            </w:r>
            <w:r w:rsidR="00270BEB" w:rsidRPr="00FE0455">
              <w:rPr>
                <w:rFonts w:ascii="Times New Roman" w:hAnsi="Times New Roman"/>
                <w:sz w:val="24"/>
                <w:szCs w:val="24"/>
              </w:rPr>
              <w:t xml:space="preserve"> (SNPLMA) and actually includes a</w:t>
            </w:r>
            <w:r w:rsidR="001E05AE">
              <w:rPr>
                <w:rFonts w:ascii="Times New Roman" w:hAnsi="Times New Roman"/>
                <w:sz w:val="24"/>
                <w:szCs w:val="24"/>
              </w:rPr>
              <w:t xml:space="preserve"> $14 million</w:t>
            </w:r>
            <w:r w:rsidR="00270BEB" w:rsidRPr="00FE0455">
              <w:rPr>
                <w:rFonts w:ascii="Times New Roman" w:hAnsi="Times New Roman"/>
                <w:sz w:val="24"/>
                <w:szCs w:val="24"/>
              </w:rPr>
              <w:t xml:space="preserve"> funding </w:t>
            </w:r>
            <w:r w:rsidR="00270BEB" w:rsidRPr="001E05AE">
              <w:rPr>
                <w:rFonts w:ascii="Times New Roman" w:hAnsi="Times New Roman"/>
                <w:sz w:val="24"/>
                <w:szCs w:val="24"/>
              </w:rPr>
              <w:t xml:space="preserve">increase for </w:t>
            </w:r>
            <w:r w:rsidR="001E05AE" w:rsidRPr="001E05AE">
              <w:rPr>
                <w:rFonts w:ascii="Times New Roman" w:hAnsi="Times New Roman"/>
                <w:sz w:val="24"/>
                <w:szCs w:val="24"/>
              </w:rPr>
              <w:t xml:space="preserve">Nevada </w:t>
            </w:r>
            <w:r w:rsidR="001E05AE" w:rsidRPr="001E05A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Payments in Lieu of Taxes</w:t>
            </w:r>
            <w:r w:rsidR="00270BEB" w:rsidRPr="001E05AE">
              <w:rPr>
                <w:rFonts w:ascii="Times New Roman" w:hAnsi="Times New Roman"/>
                <w:sz w:val="24"/>
                <w:szCs w:val="24"/>
              </w:rPr>
              <w:t xml:space="preserve"> (PILT)</w:t>
            </w:r>
            <w:r w:rsidR="001E05AE" w:rsidRPr="001E05AE">
              <w:rPr>
                <w:rFonts w:ascii="Times New Roman" w:hAnsi="Times New Roman"/>
                <w:sz w:val="24"/>
                <w:szCs w:val="24"/>
              </w:rPr>
              <w:t xml:space="preserve"> funds</w:t>
            </w:r>
            <w:r w:rsidR="00270BEB" w:rsidRPr="001E05AE">
              <w:rPr>
                <w:rFonts w:ascii="Times New Roman" w:hAnsi="Times New Roman"/>
                <w:sz w:val="24"/>
                <w:szCs w:val="24"/>
              </w:rPr>
              <w:t>.</w:t>
            </w:r>
            <w:r w:rsidR="00270BEB" w:rsidRPr="00FE0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0BEB" w:rsidRPr="00FE0455" w:rsidRDefault="00270BEB" w:rsidP="001E0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0BEB" w:rsidRPr="00FE0455" w:rsidRDefault="00270BEB" w:rsidP="001E05AE">
            <w:pPr>
              <w:rPr>
                <w:rFonts w:ascii="Times New Roman" w:hAnsi="Times New Roman"/>
                <w:sz w:val="24"/>
                <w:szCs w:val="24"/>
              </w:rPr>
            </w:pPr>
            <w:r w:rsidRPr="00FE0455">
              <w:rPr>
                <w:rFonts w:ascii="Times New Roman" w:hAnsi="Times New Roman"/>
                <w:sz w:val="24"/>
                <w:szCs w:val="24"/>
              </w:rPr>
              <w:t xml:space="preserve">“These programs not only help spur economic development in the private sector, but provide the necessary resources for conservation, habitat restoration as well as reduce the risk of wildfires,” </w:t>
            </w:r>
            <w:r w:rsidRPr="00FE0455">
              <w:rPr>
                <w:rFonts w:ascii="Times New Roman" w:hAnsi="Times New Roman"/>
                <w:b/>
                <w:sz w:val="24"/>
                <w:szCs w:val="24"/>
              </w:rPr>
              <w:t>said Heller</w:t>
            </w:r>
            <w:r w:rsidRPr="00FE0455">
              <w:rPr>
                <w:rFonts w:ascii="Times New Roman" w:hAnsi="Times New Roman"/>
                <w:sz w:val="24"/>
                <w:szCs w:val="24"/>
              </w:rPr>
              <w:t xml:space="preserve">. “As the budget process continues, I will continue to fight for critical Nevada programs and ensure the needs of all Nevadans are heard here in Washington, D.C.” </w:t>
            </w:r>
          </w:p>
          <w:p w:rsidR="00270BEB" w:rsidRPr="00FE0455" w:rsidRDefault="00270BEB" w:rsidP="001E0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05AE" w:rsidRDefault="001E05AE" w:rsidP="001E0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 April, Heller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contacted </w:t>
            </w:r>
            <w:hyperlink r:id="rId7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Department of the Interior Secretary (DOI) Ryan </w:t>
              </w:r>
              <w:proofErr w:type="spellStart"/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Zinke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and Senate Interior and Environment Appropriations </w:t>
            </w:r>
            <w:hyperlink r:id="rId8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Subcommittee Chairman Lisa Murkowski and Ranking Member Tom Udall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to express his strong concern with a recently leaked budget proposal that would gut the Southern Nevada Public Land Management Act’s (SNPLMA) program. Enacted in 1998, SNPLMA is a program that allows the Bureau of Land Management (BLM) to sell public land within a specific boundary around Las Vegas, Nevada, and the revenue generated by those sales are invested in important projects in Nevada.</w:t>
            </w:r>
          </w:p>
          <w:p w:rsidR="001E05AE" w:rsidRDefault="001E05AE" w:rsidP="001E0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0BEB" w:rsidRPr="00FE0455" w:rsidRDefault="001E05AE" w:rsidP="001E05AE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E0455" w:rsidRPr="001E05A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During a </w:t>
              </w:r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recent </w:t>
              </w:r>
              <w:r w:rsidR="00FE0455" w:rsidRPr="001E05A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speech to the Nevada State Legislature, Heller slammed various appropriations proposals laid out by this Administration, and remains committed to opposing any legislation that will hurt the state of Nevada.</w:t>
              </w:r>
            </w:hyperlink>
            <w:r w:rsidR="00FE0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1D89" w:rsidRDefault="00A51D89" w:rsidP="00A51D8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D89" w:rsidRPr="001E05AE" w:rsidRDefault="001E05AE" w:rsidP="00A51D89">
            <w:pPr>
              <w:spacing w:line="252" w:lineRule="auto"/>
              <w:jc w:val="center"/>
            </w:pPr>
            <w:r w:rsidRPr="001E05AE">
              <w:rPr>
                <w:rFonts w:ascii="Times New Roman" w:hAnsi="Times New Roman"/>
                <w:iCs/>
                <w:sz w:val="24"/>
                <w:szCs w:val="24"/>
              </w:rPr>
              <w:t>###</w:t>
            </w:r>
            <w:r w:rsidR="00A51D89" w:rsidRPr="001E05AE">
              <w:rPr>
                <w:rFonts w:ascii="Times New Roman" w:hAnsi="Times New Roman"/>
                <w:iCs/>
                <w:sz w:val="24"/>
                <w:szCs w:val="24"/>
              </w:rPr>
              <w:br/>
            </w:r>
          </w:p>
          <w:p w:rsidR="00AE06B1" w:rsidRDefault="00AE06B1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323850" cy="323850"/>
                  <wp:effectExtent l="0" t="0" r="0" b="0"/>
                  <wp:docPr id="3" name="Picture 3" descr="cid:image002.png@01D2A958.8799B760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D2A958.8799B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323850" cy="323850"/>
                  <wp:effectExtent l="0" t="0" r="0" b="0"/>
                  <wp:docPr id="2" name="Picture 2" descr="cid:image003.png@01D2A958.8799B760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D2A958.8799B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323850" cy="323850"/>
                  <wp:effectExtent l="0" t="0" r="0" b="0"/>
                  <wp:docPr id="1" name="Picture 1" descr="cid:image004.png@01D2A958.8799B760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4.png@01D2A958.8799B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06B1" w:rsidRDefault="00AE06B1" w:rsidP="00AE06B1"/>
    <w:p w:rsidR="00AE06B1" w:rsidRDefault="00AE06B1" w:rsidP="00AE06B1"/>
    <w:p w:rsidR="00AE06B1" w:rsidRDefault="00AE06B1" w:rsidP="00AE06B1"/>
    <w:p w:rsidR="00AE06B1" w:rsidRDefault="00AE06B1" w:rsidP="00AE06B1"/>
    <w:bookmarkEnd w:id="0"/>
    <w:p w:rsidR="008845D2" w:rsidRDefault="008845D2"/>
    <w:sectPr w:rsidR="00884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B1"/>
    <w:rsid w:val="0003097F"/>
    <w:rsid w:val="00071CD2"/>
    <w:rsid w:val="001829FF"/>
    <w:rsid w:val="00197DF7"/>
    <w:rsid w:val="001E05AE"/>
    <w:rsid w:val="002057B7"/>
    <w:rsid w:val="00270BEB"/>
    <w:rsid w:val="00290599"/>
    <w:rsid w:val="00384931"/>
    <w:rsid w:val="00463C47"/>
    <w:rsid w:val="0069484F"/>
    <w:rsid w:val="00784EAD"/>
    <w:rsid w:val="008845D2"/>
    <w:rsid w:val="008A4B3A"/>
    <w:rsid w:val="00A51D89"/>
    <w:rsid w:val="00AE06B1"/>
    <w:rsid w:val="00B00769"/>
    <w:rsid w:val="00B678E0"/>
    <w:rsid w:val="00D922E5"/>
    <w:rsid w:val="00DA6453"/>
    <w:rsid w:val="00DD6B3A"/>
    <w:rsid w:val="00FE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0A704-5A98-47B6-8F64-9AE66B66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B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6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er.senate.gov/public/_cache/files/003fedf4-f11b-4454-8041-fac4b28b4ed7/04042017%20Heller%20Letter%20to%20Interior%20Approps%20-%20Murkowski-Udall%20re%20SNPLMA.pdf" TargetMode="External"/><Relationship Id="rId13" Type="http://schemas.openxmlformats.org/officeDocument/2006/relationships/hyperlink" Target="http://twitter.com/SenDeanHeller" TargetMode="External"/><Relationship Id="rId18" Type="http://schemas.openxmlformats.org/officeDocument/2006/relationships/image" Target="cid:image004.png@01D2A958.8799B7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ller.senate.gov/public/_cache/files/ffcdb563-9f8f-4c84-806e-9fd826f1a384/04042017%20Heller%20Letter%20to%20Zinke%20re%20SNPLMA.pdf" TargetMode="External"/><Relationship Id="rId12" Type="http://schemas.openxmlformats.org/officeDocument/2006/relationships/image" Target="cid:image002.png@01D2A958.8799B760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://www.youtube.com/user/SenDeanHelle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image" Target="media/image2.png"/><Relationship Id="rId5" Type="http://schemas.openxmlformats.org/officeDocument/2006/relationships/image" Target="cid:image001.jpg@01D2A958.8799B760" TargetMode="External"/><Relationship Id="rId15" Type="http://schemas.openxmlformats.org/officeDocument/2006/relationships/image" Target="cid:image003.png@01D2A958.8799B760" TargetMode="External"/><Relationship Id="rId10" Type="http://schemas.openxmlformats.org/officeDocument/2006/relationships/hyperlink" Target="http://www.facebook.com/pages/US-Senator-Dean-Heller/325751330177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nevadaappeal.com/news/local/heller-says-he-is-for-nevada-first-not-trump-or-party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31</cp:revision>
  <dcterms:created xsi:type="dcterms:W3CDTF">2017-03-30T17:26:00Z</dcterms:created>
  <dcterms:modified xsi:type="dcterms:W3CDTF">2017-05-01T14:25:00Z</dcterms:modified>
</cp:coreProperties>
</file>