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B" w:rsidRDefault="00920EFB" w:rsidP="00920EFB">
      <w:bookmarkStart w:id="0" w:name="_GoBack"/>
    </w:p>
    <w:p w:rsidR="00920EFB" w:rsidRDefault="00920EFB" w:rsidP="00920EF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920EFB" w:rsidTr="00920EFB">
        <w:tc>
          <w:tcPr>
            <w:tcW w:w="9600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920EFB" w:rsidRDefault="00920EFB">
            <w:pPr>
              <w:spacing w:line="252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035040" cy="789305"/>
                  <wp:effectExtent l="0" t="0" r="3810" b="0"/>
                  <wp:docPr id="4" name="Picture 4" descr="cid:image001.jpg@01D27262.50221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7262.50221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0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EFB" w:rsidRDefault="00920E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 Immediate Release:                                                                   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Neal A. Patel</w:t>
              </w:r>
            </w:hyperlink>
          </w:p>
          <w:p w:rsidR="00920EFB" w:rsidRDefault="00920E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January 19, 2017                                                                                   202-224-6244 </w:t>
            </w:r>
          </w:p>
          <w:p w:rsidR="00920EFB" w:rsidRDefault="00920EF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 w:rsidR="00920EFB" w:rsidRDefault="00920EF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ICYMI: Heller </w:t>
            </w:r>
            <w:r w:rsidR="005C1FE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Receives </w:t>
            </w: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Mnuchin’s</w:t>
            </w:r>
            <w:proofErr w:type="spell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5C1FE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Commitment to Help Repeal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the Cadillac Tax</w:t>
            </w:r>
            <w:r w:rsidR="00E47A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and Provide Relief to</w:t>
            </w:r>
            <w:r w:rsidR="00C2098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Struggling</w:t>
            </w:r>
            <w:r w:rsidR="00E47A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C20985">
              <w:rPr>
                <w:rFonts w:ascii="Times New Roman" w:hAnsi="Times New Roman"/>
                <w:b/>
                <w:bCs/>
                <w:sz w:val="36"/>
                <w:szCs w:val="36"/>
              </w:rPr>
              <w:t>Nevadans</w:t>
            </w:r>
          </w:p>
          <w:p w:rsidR="00920EFB" w:rsidRDefault="00920EF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262" w:rsidRDefault="00920E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(Washington, DC)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Today, United States Senator Dean Heller expressed the need to repeal the Cadillac Tax during the Senate Finance Committee confirmation hearing of Treasury Secretary nominee Steven Mnuchin. Specifically, Heller asked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Mnuchin’</w:t>
            </w:r>
            <w:r w:rsidR="003744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374415">
              <w:rPr>
                <w:rFonts w:ascii="Times New Roman" w:hAnsi="Times New Roman"/>
                <w:sz w:val="24"/>
                <w:szCs w:val="24"/>
              </w:rPr>
              <w:t xml:space="preserve"> commitment to repeal </w:t>
            </w:r>
            <w:r>
              <w:rPr>
                <w:rFonts w:ascii="Times New Roman" w:hAnsi="Times New Roman"/>
                <w:sz w:val="24"/>
                <w:szCs w:val="24"/>
              </w:rPr>
              <w:t>the onerous tax</w:t>
            </w:r>
            <w:r w:rsidR="005C1FE9">
              <w:rPr>
                <w:rFonts w:ascii="Times New Roman" w:hAnsi="Times New Roman"/>
                <w:sz w:val="24"/>
                <w:szCs w:val="24"/>
              </w:rPr>
              <w:t xml:space="preserve"> burdening so many Nevadans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415">
              <w:rPr>
                <w:rFonts w:ascii="Times New Roman" w:hAnsi="Times New Roman"/>
                <w:sz w:val="24"/>
                <w:szCs w:val="24"/>
              </w:rPr>
              <w:t>Additionally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Heller </w:t>
            </w:r>
            <w:r w:rsidR="00374415">
              <w:rPr>
                <w:rFonts w:ascii="Times New Roman" w:hAnsi="Times New Roman"/>
                <w:sz w:val="24"/>
                <w:szCs w:val="24"/>
              </w:rPr>
              <w:t>underlined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FE9">
              <w:rPr>
                <w:rFonts w:ascii="Times New Roman" w:hAnsi="Times New Roman"/>
                <w:sz w:val="24"/>
                <w:szCs w:val="24"/>
              </w:rPr>
              <w:t>the high rate of Nevada homeowners still underwater on their mo</w:t>
            </w:r>
            <w:r w:rsidR="008C1262">
              <w:rPr>
                <w:rFonts w:ascii="Times New Roman" w:hAnsi="Times New Roman"/>
                <w:sz w:val="24"/>
                <w:szCs w:val="24"/>
              </w:rPr>
              <w:t xml:space="preserve">rtgages. Heller also received </w:t>
            </w:r>
            <w:proofErr w:type="spellStart"/>
            <w:r w:rsidR="008C1262">
              <w:rPr>
                <w:rFonts w:ascii="Times New Roman" w:hAnsi="Times New Roman"/>
                <w:sz w:val="24"/>
                <w:szCs w:val="24"/>
              </w:rPr>
              <w:t>Mnuchin’s</w:t>
            </w:r>
            <w:proofErr w:type="spellEnd"/>
            <w:r w:rsidR="008C1262">
              <w:rPr>
                <w:rFonts w:ascii="Times New Roman" w:hAnsi="Times New Roman"/>
                <w:sz w:val="24"/>
                <w:szCs w:val="24"/>
              </w:rPr>
              <w:t xml:space="preserve"> commitment to work with him </w:t>
            </w:r>
            <w:r w:rsidR="005C1FE9">
              <w:rPr>
                <w:rFonts w:ascii="Times New Roman" w:hAnsi="Times New Roman"/>
                <w:sz w:val="24"/>
                <w:szCs w:val="24"/>
              </w:rPr>
              <w:t xml:space="preserve">to ensure </w:t>
            </w:r>
            <w:r w:rsidR="008C1262">
              <w:rPr>
                <w:rFonts w:ascii="Times New Roman" w:hAnsi="Times New Roman"/>
                <w:sz w:val="24"/>
                <w:szCs w:val="24"/>
              </w:rPr>
              <w:t xml:space="preserve">struggling </w:t>
            </w:r>
            <w:r w:rsidR="00C20985">
              <w:rPr>
                <w:rFonts w:ascii="Times New Roman" w:hAnsi="Times New Roman"/>
                <w:sz w:val="24"/>
                <w:szCs w:val="24"/>
              </w:rPr>
              <w:t>N</w:t>
            </w:r>
            <w:r w:rsidR="008C1262">
              <w:rPr>
                <w:rFonts w:ascii="Times New Roman" w:hAnsi="Times New Roman"/>
                <w:sz w:val="24"/>
                <w:szCs w:val="24"/>
              </w:rPr>
              <w:t>evada</w:t>
            </w:r>
            <w:r w:rsidR="00C20985">
              <w:rPr>
                <w:rFonts w:ascii="Times New Roman" w:hAnsi="Times New Roman"/>
                <w:sz w:val="24"/>
                <w:szCs w:val="24"/>
              </w:rPr>
              <w:t>ns</w:t>
            </w:r>
            <w:r w:rsidR="00374415">
              <w:rPr>
                <w:rFonts w:ascii="Times New Roman" w:hAnsi="Times New Roman"/>
                <w:sz w:val="24"/>
                <w:szCs w:val="24"/>
              </w:rPr>
              <w:t xml:space="preserve"> do not </w:t>
            </w:r>
            <w:r w:rsidR="005C1FE9">
              <w:rPr>
                <w:rFonts w:ascii="Times New Roman" w:hAnsi="Times New Roman"/>
                <w:sz w:val="24"/>
                <w:szCs w:val="24"/>
              </w:rPr>
              <w:t>pay taxes on income they never received</w:t>
            </w:r>
            <w:r w:rsidR="008C1262"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="00C20985">
              <w:rPr>
                <w:rFonts w:ascii="Times New Roman" w:hAnsi="Times New Roman"/>
                <w:sz w:val="24"/>
                <w:szCs w:val="24"/>
              </w:rPr>
              <w:t>r</w:t>
            </w:r>
            <w:r w:rsidR="008C1262">
              <w:rPr>
                <w:rFonts w:ascii="Times New Roman" w:hAnsi="Times New Roman"/>
                <w:sz w:val="24"/>
                <w:szCs w:val="24"/>
              </w:rPr>
              <w:t>ough Heller’s Mortgage Debt Tax Relief Act (</w:t>
            </w:r>
            <w:hyperlink r:id="rId7" w:history="1">
              <w:r w:rsidR="008C1262" w:rsidRPr="009900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S.122</w:t>
              </w:r>
            </w:hyperlink>
            <w:r w:rsidR="008C12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262" w:rsidRDefault="008C126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EFB" w:rsidRDefault="00920E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Click </w:t>
            </w:r>
            <w:hyperlink r:id="rId8" w:history="1">
              <w:r w:rsidRPr="001032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HERE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or below to watch.</w:t>
            </w:r>
          </w:p>
          <w:p w:rsidR="00920EFB" w:rsidRDefault="00A87B6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713706</wp:posOffset>
                  </wp:positionH>
                  <wp:positionV relativeFrom="paragraph">
                    <wp:posOffset>251627</wp:posOffset>
                  </wp:positionV>
                  <wp:extent cx="4399280" cy="2463800"/>
                  <wp:effectExtent l="0" t="0" r="1270" b="0"/>
                  <wp:wrapTopAndBottom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28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EFB" w:rsidRDefault="00920E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EFB" w:rsidRDefault="00920EF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###</w:t>
            </w:r>
          </w:p>
          <w:p w:rsidR="00920EFB" w:rsidRDefault="00920EFB">
            <w:pPr>
              <w:spacing w:line="252" w:lineRule="auto"/>
              <w:jc w:val="center"/>
            </w:pPr>
          </w:p>
          <w:p w:rsidR="00920EFB" w:rsidRDefault="00920EFB">
            <w:pPr>
              <w:spacing w:line="252" w:lineRule="auto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025" cy="327025"/>
                  <wp:effectExtent l="0" t="0" r="0" b="0"/>
                  <wp:docPr id="3" name="Picture 3" descr="cid:image004.png@01D27262.50221CA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27262.50221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025" cy="327025"/>
                  <wp:effectExtent l="0" t="0" r="0" b="0"/>
                  <wp:docPr id="2" name="Picture 2" descr="cid:image005.png@01D27262.50221CA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png@01D27262.50221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025" cy="327025"/>
                  <wp:effectExtent l="0" t="0" r="0" b="0"/>
                  <wp:docPr id="1" name="Picture 1" descr="cid:image006.png@01D27262.50221CA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6.png@01D27262.50221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20EFB" w:rsidRDefault="00920EFB" w:rsidP="00920EFB"/>
    <w:p w:rsidR="00920EFB" w:rsidRDefault="00920EFB" w:rsidP="00920EFB"/>
    <w:p w:rsidR="00920EFB" w:rsidRDefault="00920EFB" w:rsidP="00920EFB"/>
    <w:p w:rsidR="00920EFB" w:rsidRDefault="00920EFB" w:rsidP="00920EFB"/>
    <w:p w:rsidR="00920EFB" w:rsidRDefault="00920EFB" w:rsidP="00920EFB"/>
    <w:p w:rsidR="00920EFB" w:rsidRDefault="00920EFB" w:rsidP="00920EFB"/>
    <w:p w:rsidR="009B7E3D" w:rsidRDefault="009B7E3D"/>
    <w:sectPr w:rsidR="009B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B"/>
    <w:rsid w:val="00103264"/>
    <w:rsid w:val="00374415"/>
    <w:rsid w:val="005C1FE9"/>
    <w:rsid w:val="006E4AAE"/>
    <w:rsid w:val="008C1262"/>
    <w:rsid w:val="00920EFB"/>
    <w:rsid w:val="00990089"/>
    <w:rsid w:val="009B7E3D"/>
    <w:rsid w:val="00A87B61"/>
    <w:rsid w:val="00C06167"/>
    <w:rsid w:val="00C16945"/>
    <w:rsid w:val="00C20985"/>
    <w:rsid w:val="00E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CB365-CA36-4408-8B96-60AE208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F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3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9XzqYN0jc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6.png@01D27262.50221C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bill/115th-congress/senate-bill/122?q=%7B%22search%22%3A%5B%22s.+122%22%5D%7D&amp;r=1" TargetMode="External"/><Relationship Id="rId12" Type="http://schemas.openxmlformats.org/officeDocument/2006/relationships/image" Target="cid:image004.png@01D27262.50221CA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jpg@01D27262.50221CA0" TargetMode="External"/><Relationship Id="rId15" Type="http://schemas.openxmlformats.org/officeDocument/2006/relationships/image" Target="cid:image005.png@01D27262.50221CA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6</cp:revision>
  <cp:lastPrinted>2017-01-19T20:14:00Z</cp:lastPrinted>
  <dcterms:created xsi:type="dcterms:W3CDTF">2017-01-19T19:52:00Z</dcterms:created>
  <dcterms:modified xsi:type="dcterms:W3CDTF">2017-01-19T21:34:00Z</dcterms:modified>
</cp:coreProperties>
</file>