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960792" w:rsidP="004F5BBB">
                  <w:pPr>
                    <w:rPr>
                      <w:b/>
                    </w:rPr>
                  </w:pPr>
                  <w:r>
                    <w:t>October 22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E1448D" w:rsidRDefault="00A35860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C66B81">
              <w:rPr>
                <w:b/>
                <w:bCs/>
                <w:sz w:val="36"/>
                <w:szCs w:val="36"/>
              </w:rPr>
              <w:t xml:space="preserve">’s I-11 </w:t>
            </w:r>
            <w:r w:rsidR="00BA0607">
              <w:rPr>
                <w:b/>
                <w:bCs/>
                <w:sz w:val="36"/>
                <w:szCs w:val="36"/>
              </w:rPr>
              <w:t xml:space="preserve">Extension </w:t>
            </w:r>
            <w:r w:rsidR="0052647C">
              <w:rPr>
                <w:b/>
                <w:bCs/>
                <w:sz w:val="36"/>
                <w:szCs w:val="36"/>
              </w:rPr>
              <w:t xml:space="preserve">Passes </w:t>
            </w:r>
            <w:r w:rsidR="00960792">
              <w:rPr>
                <w:b/>
                <w:bCs/>
                <w:sz w:val="36"/>
                <w:szCs w:val="36"/>
              </w:rPr>
              <w:t xml:space="preserve">House </w:t>
            </w:r>
            <w:r w:rsidR="0052647C">
              <w:rPr>
                <w:b/>
                <w:bCs/>
                <w:sz w:val="36"/>
                <w:szCs w:val="36"/>
              </w:rPr>
              <w:t>Committee</w:t>
            </w:r>
          </w:p>
          <w:p w:rsidR="00960792" w:rsidRDefault="00463D19" w:rsidP="00960792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52647C">
              <w:t xml:space="preserve">Today, the U.S. </w:t>
            </w:r>
            <w:r w:rsidR="00960792">
              <w:t xml:space="preserve">House of Representatives Committee on Transportation &amp; Infrastructure </w:t>
            </w:r>
            <w:r w:rsidR="008A17C9">
              <w:t xml:space="preserve">(T&amp;I) </w:t>
            </w:r>
            <w:r w:rsidR="0052647C">
              <w:t xml:space="preserve">passed </w:t>
            </w:r>
            <w:hyperlink r:id="rId8" w:history="1">
              <w:r w:rsidR="00960792">
                <w:rPr>
                  <w:rStyle w:val="Hyperlink"/>
                </w:rPr>
                <w:t>H.R. 3763, the Surface Transportation Reauthorization and Reform Act of 2015</w:t>
              </w:r>
            </w:hyperlink>
            <w:r w:rsidR="00960792">
              <w:t xml:space="preserve"> (The STRR Act). Included in this legislation was </w:t>
            </w:r>
            <w:hyperlink r:id="rId9" w:history="1">
              <w:r w:rsidR="00960792" w:rsidRPr="008A17C9">
                <w:rPr>
                  <w:rStyle w:val="Hyperlink"/>
                </w:rPr>
                <w:t>Senator Heller’s bill</w:t>
              </w:r>
            </w:hyperlink>
            <w:r w:rsidR="00960792">
              <w:t xml:space="preserve"> to extend</w:t>
            </w:r>
            <w:r w:rsidR="00960792" w:rsidRPr="002A4C9D">
              <w:t xml:space="preserve"> the future Interstate 11 (I-11) </w:t>
            </w:r>
            <w:r w:rsidR="00960792">
              <w:t xml:space="preserve">from Las Vegas </w:t>
            </w:r>
            <w:r w:rsidR="00960792" w:rsidRPr="002A4C9D">
              <w:t>through the State of Nevada to Interstate 80 (I-80)</w:t>
            </w:r>
            <w:r w:rsidR="00960792">
              <w:t xml:space="preserve">. </w:t>
            </w:r>
            <w:r w:rsidR="008A17C9">
              <w:t xml:space="preserve">U.S. Representatives </w:t>
            </w:r>
            <w:proofErr w:type="spellStart"/>
            <w:r w:rsidR="008A17C9">
              <w:t>Cresent</w:t>
            </w:r>
            <w:proofErr w:type="spellEnd"/>
            <w:r w:rsidR="008A17C9">
              <w:t xml:space="preserve"> Hardy (R-</w:t>
            </w:r>
            <w:r w:rsidR="003B7797">
              <w:t>NV</w:t>
            </w:r>
            <w:r w:rsidR="008A17C9">
              <w:t>04) and Dina Titus (D-</w:t>
            </w:r>
            <w:r w:rsidR="003B7797">
              <w:t>NV</w:t>
            </w:r>
            <w:r w:rsidR="008A17C9">
              <w:t xml:space="preserve">01), both members of the T &amp; I Committee, worked with Senator Heller on this legislation, which is now one step closer to hitting President Obama’s desk to be signed in to law. </w:t>
            </w:r>
            <w:r w:rsidR="00960792">
              <w:t>Following committee passage, Heller offered this statement:</w:t>
            </w:r>
          </w:p>
          <w:p w:rsidR="008A17C9" w:rsidRDefault="0052647C" w:rsidP="0061733A">
            <w:pPr>
              <w:pStyle w:val="NormalWeb"/>
            </w:pPr>
            <w:r>
              <w:t>“</w:t>
            </w:r>
            <w:r w:rsidR="008A17C9">
              <w:t>First and foremost, I would like to commend Representatives Hardy and Titus for their tireless effort to ensure I-11 was included in the House highway bill. Our delegation has a long history of working together on Nevada priorities</w:t>
            </w:r>
            <w:r w:rsidR="003B7797">
              <w:t>,</w:t>
            </w:r>
            <w:r w:rsidR="008A17C9">
              <w:t xml:space="preserve"> and today’s committee passage proves collaboration </w:t>
            </w:r>
            <w:r w:rsidR="00DD0F06">
              <w:t xml:space="preserve">– in </w:t>
            </w:r>
            <w:r w:rsidR="008A17C9">
              <w:t>both chamber</w:t>
            </w:r>
            <w:r w:rsidR="00DD0F06">
              <w:t>s</w:t>
            </w:r>
            <w:r w:rsidR="008A17C9">
              <w:t xml:space="preserve"> and across party line</w:t>
            </w:r>
            <w:r w:rsidR="00DD0F06">
              <w:t xml:space="preserve">s – is </w:t>
            </w:r>
            <w:r w:rsidR="003B7797">
              <w:t>a recipe for success</w:t>
            </w:r>
            <w:r w:rsidR="00DC70D2">
              <w:t xml:space="preserve">,” said </w:t>
            </w:r>
            <w:r w:rsidR="00DC70D2" w:rsidRPr="00DC70D2">
              <w:rPr>
                <w:b/>
              </w:rPr>
              <w:t>Senator Dean Heller</w:t>
            </w:r>
            <w:r w:rsidR="00DC70D2">
              <w:t>. “No doubt, Nevada will reap the economic benefits of the I-11 extension for years to come</w:t>
            </w:r>
            <w:r w:rsidR="0009577B">
              <w:t>,</w:t>
            </w:r>
            <w:r w:rsidR="00DC70D2">
              <w:t xml:space="preserve"> and </w:t>
            </w:r>
            <w:r w:rsidR="00DD0F06">
              <w:t xml:space="preserve">I </w:t>
            </w:r>
            <w:r w:rsidR="00DC70D2">
              <w:t>am grateful we are one step close</w:t>
            </w:r>
            <w:r w:rsidR="008E3D5A">
              <w:t>r</w:t>
            </w:r>
            <w:r w:rsidR="00DC70D2">
              <w:t xml:space="preserve"> to pushing </w:t>
            </w:r>
            <w:r w:rsidR="00DD0F06">
              <w:t>it</w:t>
            </w:r>
            <w:r w:rsidR="00DC70D2">
              <w:t xml:space="preserve"> over the finish line.”</w:t>
            </w:r>
          </w:p>
          <w:p w:rsidR="0061733A" w:rsidRDefault="0061733A" w:rsidP="0061733A">
            <w:pPr>
              <w:rPr>
                <w:b/>
                <w:color w:val="000000"/>
                <w:u w:val="single"/>
              </w:rPr>
            </w:pPr>
            <w:r w:rsidRPr="004040E3">
              <w:rPr>
                <w:b/>
                <w:color w:val="000000"/>
                <w:u w:val="single"/>
              </w:rPr>
              <w:t>Background:</w:t>
            </w:r>
          </w:p>
          <w:p w:rsidR="00870869" w:rsidRDefault="00C66B81" w:rsidP="00353AA4">
            <w:pPr>
              <w:contextualSpacing/>
            </w:pPr>
            <w:r>
              <w:t xml:space="preserve">Heller’s legislation, </w:t>
            </w:r>
            <w:hyperlink r:id="rId10" w:history="1">
              <w:r w:rsidRPr="0053229F">
                <w:rPr>
                  <w:rStyle w:val="Hyperlink"/>
                </w:rPr>
                <w:t>introduce</w:t>
              </w:r>
              <w:r w:rsidR="001C330B" w:rsidRPr="0053229F">
                <w:rPr>
                  <w:rStyle w:val="Hyperlink"/>
                </w:rPr>
                <w:t>d</w:t>
              </w:r>
              <w:r w:rsidRPr="0053229F">
                <w:rPr>
                  <w:rStyle w:val="Hyperlink"/>
                </w:rPr>
                <w:t xml:space="preserve"> in March</w:t>
              </w:r>
            </w:hyperlink>
            <w:r>
              <w:t>, ensures</w:t>
            </w:r>
            <w:r w:rsidRPr="002A4C9D">
              <w:t xml:space="preserve"> the future </w:t>
            </w:r>
            <w:r>
              <w:t>I-11</w:t>
            </w:r>
            <w:r w:rsidRPr="002A4C9D">
              <w:t xml:space="preserve"> is connected to </w:t>
            </w:r>
            <w:r w:rsidR="00835415">
              <w:t>Northern Nevada</w:t>
            </w:r>
            <w:r w:rsidR="00C6646C">
              <w:t>,</w:t>
            </w:r>
            <w:r w:rsidR="00835415">
              <w:t xml:space="preserve"> giving it a key role</w:t>
            </w:r>
            <w:r w:rsidRPr="002A4C9D">
              <w:t xml:space="preserve"> as an international trade route. Specifically, the </w:t>
            </w:r>
            <w:r w:rsidRPr="00133E54">
              <w:rPr>
                <w:i/>
              </w:rPr>
              <w:t>Intermountain West Corridor Development Act of 2015</w:t>
            </w:r>
            <w:r w:rsidRPr="002A4C9D">
              <w:t xml:space="preserve"> (S. 842) provides both </w:t>
            </w:r>
            <w:r w:rsidR="00835415">
              <w:t>Arizona’s and Nevada’s</w:t>
            </w:r>
            <w:r w:rsidRPr="002A4C9D">
              <w:t xml:space="preserve"> Departments of Transportation the flexibility to develop a Northern Nevada connectivity corridor and a Southern Arizona connectivity corridor as part of the I-11 effort. This full north-to-south, Canada-to-Mexico interstate system is critical for our nation’s mobility, economy, and national defense.</w:t>
            </w:r>
            <w:r w:rsidR="007F2B5B">
              <w:t xml:space="preserve"> An in-depth look at the legislation, including a map, is available </w:t>
            </w:r>
            <w:hyperlink r:id="rId11" w:history="1">
              <w:r w:rsidR="007F2B5B" w:rsidRPr="007F2B5B">
                <w:rPr>
                  <w:rStyle w:val="Hyperlink"/>
                </w:rPr>
                <w:t>HERE</w:t>
              </w:r>
            </w:hyperlink>
            <w:r w:rsidR="007F2B5B">
              <w:t>.</w:t>
            </w:r>
          </w:p>
          <w:p w:rsidR="00960792" w:rsidRDefault="00960792" w:rsidP="00353AA4">
            <w:pPr>
              <w:contextualSpacing/>
            </w:pPr>
          </w:p>
          <w:p w:rsidR="00960792" w:rsidRPr="008C5E11" w:rsidRDefault="00960792" w:rsidP="00353AA4">
            <w:pPr>
              <w:contextualSpacing/>
            </w:pPr>
            <w:r>
              <w:t xml:space="preserve">In July, the U.S. </w:t>
            </w:r>
            <w:hyperlink r:id="rId12" w:history="1">
              <w:r w:rsidRPr="008A17C9">
                <w:rPr>
                  <w:rStyle w:val="Hyperlink"/>
                  <w:shd w:val="clear" w:color="auto" w:fill="FFFFFF"/>
                </w:rPr>
                <w:t>Senate passed S. 842 as part of the Highway Bill</w:t>
              </w:r>
            </w:hyperlink>
            <w:r>
              <w:rPr>
                <w:shd w:val="clear" w:color="auto" w:fill="FFFFFF"/>
              </w:rPr>
              <w:t xml:space="preserve">, otherwise known as the </w:t>
            </w:r>
            <w:r w:rsidRPr="008A17C9">
              <w:rPr>
                <w:i/>
                <w:iCs/>
              </w:rPr>
              <w:t>Developing a Reliable and Innovative Vision for the Economy Act</w:t>
            </w:r>
            <w:r>
              <w:t xml:space="preserve"> (</w:t>
            </w:r>
            <w:r w:rsidRPr="002E545A">
              <w:rPr>
                <w:i/>
              </w:rPr>
              <w:t>DRIVE Act</w:t>
            </w:r>
            <w:r w:rsidR="008C5E11">
              <w:t xml:space="preserve">), </w:t>
            </w:r>
            <w:r w:rsidR="008C5E11" w:rsidRPr="008C5E11">
              <w:t>with Senator Heller’s support.</w:t>
            </w:r>
            <w:bookmarkStart w:id="0" w:name="_GoBack"/>
            <w:bookmarkEnd w:id="0"/>
          </w:p>
          <w:p w:rsidR="007E0726" w:rsidRDefault="007E0726" w:rsidP="0061733A">
            <w:pPr>
              <w:spacing w:after="200" w:line="276" w:lineRule="auto"/>
              <w:contextualSpacing/>
            </w:pPr>
          </w:p>
          <w:p w:rsidR="00133E54" w:rsidRPr="00133E54" w:rsidRDefault="007E0726" w:rsidP="00353AA4">
            <w:pPr>
              <w:contextualSpacing/>
              <w:rPr>
                <w:color w:val="0000FF" w:themeColor="hyperlink"/>
                <w:u w:val="single"/>
              </w:rPr>
            </w:pPr>
            <w:r>
              <w:t xml:space="preserve">Last year, Senator Heller urged Department of Transportation Secretary Anthony Foxx to support the designation of I-11 from Las Vegas to Northern Nevada. </w:t>
            </w:r>
            <w:r w:rsidR="00C93D8F">
              <w:t>In response</w:t>
            </w:r>
            <w:r>
              <w:t xml:space="preserve">, </w:t>
            </w:r>
            <w:hyperlink r:id="rId13" w:history="1">
              <w:r>
                <w:rPr>
                  <w:rStyle w:val="Hyperlink"/>
                </w:rPr>
                <w:t xml:space="preserve">Secretary Foxx committed to working with </w:t>
              </w:r>
              <w:r w:rsidR="00835415">
                <w:rPr>
                  <w:rStyle w:val="Hyperlink"/>
                </w:rPr>
                <w:t>Heller</w:t>
              </w:r>
              <w:r>
                <w:rPr>
                  <w:rStyle w:val="Hyperlink"/>
                </w:rPr>
                <w:t xml:space="preserve"> to help secure this designation.</w:t>
              </w:r>
            </w:hyperlink>
          </w:p>
          <w:p w:rsidR="007E0726" w:rsidRPr="0061733A" w:rsidRDefault="007E0726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577B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33E54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53AA4"/>
    <w:rsid w:val="0037625A"/>
    <w:rsid w:val="003B5DDB"/>
    <w:rsid w:val="003B7797"/>
    <w:rsid w:val="003C4208"/>
    <w:rsid w:val="00411FDD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C00B5"/>
    <w:rsid w:val="005C0224"/>
    <w:rsid w:val="005D1DB8"/>
    <w:rsid w:val="00601400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E3D5A"/>
    <w:rsid w:val="008E4445"/>
    <w:rsid w:val="008F7E41"/>
    <w:rsid w:val="00942615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4th-congress/house-bill/3763?q=%7B%22search%22%3A%5B%22%5C%22hr3763%5C%22%22%5D%7D&amp;resultIndex=1" TargetMode="External"/><Relationship Id="rId13" Type="http://schemas.openxmlformats.org/officeDocument/2006/relationships/hyperlink" Target="https://www.youtube.com/watch?v=ZI1isB5n_KE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index.cfm/pressreleases?ID=2ade13aa-d58f-40b8-8bbd-88a826ae33da" TargetMode="External"/><Relationship Id="rId17" Type="http://schemas.openxmlformats.org/officeDocument/2006/relationships/hyperlink" Target="http://twitter.com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07908.A11AC5D0" TargetMode="External"/><Relationship Id="rId20" Type="http://schemas.openxmlformats.org/officeDocument/2006/relationships/hyperlink" Target="http://www.youtube.com/user/SenDeanHelle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pressreleases?ID=f0b7befb-61f2-44d1-ab0d-be49ae502e2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heller.senate.gov/public/index.cfm/pressreleases?ID=f0b7befb-61f2-44d1-ab0d-be49ae502e2a" TargetMode="External"/><Relationship Id="rId19" Type="http://schemas.openxmlformats.org/officeDocument/2006/relationships/image" Target="cid:image004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f0b7befb-61f2-44d1-ab0d-be49ae502e2a" TargetMode="External"/><Relationship Id="rId14" Type="http://schemas.openxmlformats.org/officeDocument/2006/relationships/hyperlink" Target="http://www.facebook.com/pages/US-Senator-Dean-Heller/325751330177" TargetMode="External"/><Relationship Id="rId22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7</cp:revision>
  <cp:lastPrinted>2015-10-21T21:19:00Z</cp:lastPrinted>
  <dcterms:created xsi:type="dcterms:W3CDTF">2015-10-21T21:15:00Z</dcterms:created>
  <dcterms:modified xsi:type="dcterms:W3CDTF">2015-10-22T19:09:00Z</dcterms:modified>
</cp:coreProperties>
</file>