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14:paraId="2FFD4278" w14:textId="77777777" w:rsidTr="00AF35BC">
        <w:tc>
          <w:tcPr>
            <w:tcW w:w="9576" w:type="dxa"/>
          </w:tcPr>
          <w:p w14:paraId="2507CF73" w14:textId="77777777"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6A0C7A56" wp14:editId="7BBE276E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14:paraId="4A7FEA33" w14:textId="77777777" w:rsidTr="0066285F">
              <w:tc>
                <w:tcPr>
                  <w:tcW w:w="4672" w:type="dxa"/>
                </w:tcPr>
                <w:p w14:paraId="37AE3330" w14:textId="77777777"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14:paraId="30EE8C0F" w14:textId="77777777"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14:paraId="7E2E7808" w14:textId="77777777" w:rsidTr="0066285F">
              <w:tc>
                <w:tcPr>
                  <w:tcW w:w="4672" w:type="dxa"/>
                </w:tcPr>
                <w:p w14:paraId="28487CB2" w14:textId="77777777" w:rsidR="0057797F" w:rsidRPr="00EA6CBB" w:rsidRDefault="00264563" w:rsidP="001363E7">
                  <w:pPr>
                    <w:rPr>
                      <w:b/>
                    </w:rPr>
                  </w:pPr>
                  <w:r>
                    <w:t>December 1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14:paraId="7FE48E27" w14:textId="77777777"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14:paraId="57BFD380" w14:textId="77777777" w:rsidR="0057797F" w:rsidRPr="00EA6CBB" w:rsidRDefault="0057797F" w:rsidP="0057797F">
            <w:pPr>
              <w:rPr>
                <w:b/>
              </w:rPr>
            </w:pPr>
          </w:p>
          <w:p w14:paraId="7521B46E" w14:textId="77777777" w:rsidR="00F443F4" w:rsidRDefault="00264563" w:rsidP="00264563">
            <w:pPr>
              <w:jc w:val="center"/>
              <w:rPr>
                <w:b/>
                <w:bCs/>
                <w:sz w:val="36"/>
                <w:szCs w:val="36"/>
              </w:rPr>
            </w:pPr>
            <w:r w:rsidRPr="00264563">
              <w:rPr>
                <w:b/>
                <w:bCs/>
                <w:color w:val="FF0000"/>
                <w:sz w:val="36"/>
                <w:szCs w:val="36"/>
              </w:rPr>
              <w:t>BREAKING</w:t>
            </w:r>
            <w:r>
              <w:rPr>
                <w:b/>
                <w:bCs/>
                <w:sz w:val="36"/>
                <w:szCs w:val="36"/>
              </w:rPr>
              <w:t xml:space="preserve">: </w:t>
            </w:r>
            <w:r w:rsidR="00F443F4">
              <w:rPr>
                <w:b/>
                <w:bCs/>
                <w:sz w:val="36"/>
                <w:szCs w:val="36"/>
              </w:rPr>
              <w:t xml:space="preserve">Heller’s I-11 Extension </w:t>
            </w:r>
            <w:r>
              <w:rPr>
                <w:b/>
                <w:bCs/>
                <w:sz w:val="36"/>
                <w:szCs w:val="36"/>
              </w:rPr>
              <w:t xml:space="preserve">Included in Final </w:t>
            </w:r>
            <w:r w:rsidR="00A77ACF">
              <w:rPr>
                <w:b/>
                <w:bCs/>
                <w:sz w:val="36"/>
                <w:szCs w:val="36"/>
              </w:rPr>
              <w:t>Highway</w:t>
            </w:r>
            <w:r>
              <w:rPr>
                <w:b/>
                <w:bCs/>
                <w:sz w:val="36"/>
                <w:szCs w:val="36"/>
              </w:rPr>
              <w:t xml:space="preserve"> Bill</w:t>
            </w:r>
          </w:p>
          <w:p w14:paraId="2913E57C" w14:textId="7D44B3DB" w:rsidR="00A77ACF" w:rsidRPr="00264563" w:rsidRDefault="00A77ACF" w:rsidP="0026456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i/>
              </w:rPr>
              <w:t>S</w:t>
            </w:r>
            <w:r w:rsidR="00E671E7">
              <w:rPr>
                <w:b/>
                <w:bCs/>
                <w:i/>
              </w:rPr>
              <w:t>ix</w:t>
            </w:r>
            <w:r>
              <w:rPr>
                <w:b/>
                <w:bCs/>
                <w:i/>
              </w:rPr>
              <w:t xml:space="preserve"> Heller-Led Transportation Provisions Likely To Be Signed Into Law</w:t>
            </w:r>
          </w:p>
          <w:p w14:paraId="7B5793E5" w14:textId="21564405" w:rsidR="009D4CB9" w:rsidRDefault="009D4CB9" w:rsidP="009D4CB9">
            <w:pPr>
              <w:pStyle w:val="NormalWeb"/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Senator Dean Heller (R-NV) announced that s</w:t>
            </w:r>
            <w:r w:rsidR="00E671E7">
              <w:t>ix</w:t>
            </w:r>
            <w:r>
              <w:t xml:space="preserve"> of his legislative priorities, including his </w:t>
            </w:r>
            <w:hyperlink r:id="rId8" w:history="1">
              <w:r w:rsidRPr="00B611DE">
                <w:rPr>
                  <w:rStyle w:val="Hyperlink"/>
                </w:rPr>
                <w:t>Interstate 11 (I-11) extension legislation</w:t>
              </w:r>
            </w:hyperlink>
            <w:r>
              <w:t xml:space="preserve">, were included in the final long-term surface transportation reauthorization bill </w:t>
            </w:r>
            <w:hyperlink r:id="rId9" w:history="1">
              <w:r w:rsidRPr="004607F2">
                <w:rPr>
                  <w:rStyle w:val="Hyperlink"/>
                </w:rPr>
                <w:t>agreed upon today</w:t>
              </w:r>
            </w:hyperlink>
            <w:r>
              <w:t xml:space="preserve">. </w:t>
            </w:r>
            <w:r w:rsidR="0018782C">
              <w:t xml:space="preserve">Heller’s </w:t>
            </w:r>
            <w:r>
              <w:t>I-11 provision extends the future highway connecting Phoenix and Las Vegas through the state to Interstate 80 (I-80) in Northern Nevada. This final bill, which will direct federal highway, transit, and safety policies for the next five years, will likely be taken up by both the House a</w:t>
            </w:r>
            <w:r w:rsidR="0018782C">
              <w:t xml:space="preserve">nd the Senate later this week. </w:t>
            </w:r>
            <w:r>
              <w:t>Following the announcement, Senator Heller offered this statement:</w:t>
            </w:r>
          </w:p>
          <w:p w14:paraId="69D1ADD4" w14:textId="2BFFD631" w:rsidR="009D4CB9" w:rsidRPr="0018782C" w:rsidRDefault="009D4CB9" w:rsidP="009D4CB9">
            <w:r w:rsidRPr="0018782C">
              <w:t xml:space="preserve">“Today’s news that the extension of I-11 was included in the final highway bill is </w:t>
            </w:r>
            <w:r w:rsidR="000E2166">
              <w:t xml:space="preserve">a </w:t>
            </w:r>
            <w:r w:rsidRPr="0018782C">
              <w:t>major win for our state</w:t>
            </w:r>
            <w:r w:rsidR="0018782C">
              <w:t xml:space="preserve">. </w:t>
            </w:r>
            <w:r w:rsidRPr="0018782C">
              <w:t>Connecting Phoenix, Las Vegas, and Northern Nevada will spur long-term economic development, create jobs, and bolster</w:t>
            </w:r>
            <w:r w:rsidR="0018782C">
              <w:t xml:space="preserve"> international trade,</w:t>
            </w:r>
            <w:r w:rsidR="0018782C" w:rsidRPr="0018782C">
              <w:t xml:space="preserve">” said </w:t>
            </w:r>
            <w:r w:rsidR="0018782C" w:rsidRPr="0018782C">
              <w:rPr>
                <w:b/>
                <w:bCs/>
              </w:rPr>
              <w:t>Senator Dean Heller</w:t>
            </w:r>
            <w:r w:rsidR="0018782C">
              <w:t>. “</w:t>
            </w:r>
            <w:r w:rsidRPr="0018782C">
              <w:t>I would like to commend the Nevada delegation for its hard work and support of this initiative, especially Congressman Hardy</w:t>
            </w:r>
            <w:r w:rsidR="000E2166">
              <w:t>,</w:t>
            </w:r>
            <w:r w:rsidRPr="0018782C">
              <w:t xml:space="preserve"> who served on the conference committee. His leadership ensured Nevada’s voice at the table was heard</w:t>
            </w:r>
            <w:r w:rsidR="0018782C">
              <w:t>.”</w:t>
            </w:r>
          </w:p>
          <w:p w14:paraId="2C067EC0" w14:textId="77777777" w:rsidR="009D4CB9" w:rsidRDefault="009D4CB9" w:rsidP="009D4CB9"/>
          <w:p w14:paraId="10395256" w14:textId="77777777" w:rsidR="009D4CB9" w:rsidRDefault="009D4CB9" w:rsidP="009D4CB9">
            <w:r>
              <w:t>The future I</w:t>
            </w:r>
            <w:r w:rsidR="0018782C">
              <w:t>-</w:t>
            </w:r>
            <w:r>
              <w:t xml:space="preserve">11 has long been a priority for </w:t>
            </w:r>
            <w:r w:rsidR="0018782C">
              <w:t xml:space="preserve">Senator </w:t>
            </w:r>
            <w:r>
              <w:t>Heller. An in-depth look at the extension, including a map</w:t>
            </w:r>
            <w:r w:rsidR="0018782C">
              <w:t xml:space="preserve"> and video</w:t>
            </w:r>
            <w:r>
              <w:t xml:space="preserve">, is available </w:t>
            </w:r>
            <w:hyperlink r:id="rId10" w:history="1">
              <w:r>
                <w:rPr>
                  <w:rStyle w:val="Hyperlink"/>
                </w:rPr>
                <w:t>HERE</w:t>
              </w:r>
            </w:hyperlink>
            <w:r>
              <w:t>.</w:t>
            </w:r>
          </w:p>
          <w:p w14:paraId="021864C5" w14:textId="77777777" w:rsidR="009D4CB9" w:rsidRDefault="009D4CB9" w:rsidP="009D4CB9"/>
          <w:p w14:paraId="7CDE7D87" w14:textId="77777777" w:rsidR="009D4CB9" w:rsidRDefault="009D4CB9" w:rsidP="009D4CB9">
            <w:pPr>
              <w:rPr>
                <w:b/>
                <w:bCs/>
              </w:rPr>
            </w:pPr>
            <w:r>
              <w:rPr>
                <w:b/>
                <w:bCs/>
              </w:rPr>
              <w:t>Senator Heller was also successful in securing the following provisions, focused on improving Nevada’s travel and tourism infrastructure in the highway bill:</w:t>
            </w:r>
          </w:p>
          <w:p w14:paraId="7E82AB70" w14:textId="77777777" w:rsidR="009D4CB9" w:rsidRDefault="009D4CB9" w:rsidP="009D4CB9"/>
          <w:p w14:paraId="75F7E125" w14:textId="160FA1F9" w:rsidR="009D4CB9" w:rsidRPr="00E7498C" w:rsidRDefault="009D4CB9" w:rsidP="009D4CB9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E749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Lake Tahoe Transportation Planning Provision </w:t>
            </w:r>
            <w:r w:rsidRPr="00E7498C">
              <w:rPr>
                <w:rFonts w:ascii="Times New Roman" w:hAnsi="Times New Roman"/>
                <w:iCs/>
                <w:sz w:val="24"/>
                <w:szCs w:val="24"/>
              </w:rPr>
              <w:t xml:space="preserve">assists </w:t>
            </w:r>
            <w:r w:rsidRPr="00E7498C">
              <w:rPr>
                <w:rFonts w:ascii="Times New Roman" w:hAnsi="Times New Roman"/>
                <w:sz w:val="24"/>
                <w:szCs w:val="24"/>
              </w:rPr>
              <w:t>the Tahoe region’s transportation efforts by ensuring the populations of the Nevada and California communities surrounding the Lake are considered a singular entity by the Department of Transportation</w:t>
            </w:r>
            <w:r w:rsidR="0018782C">
              <w:rPr>
                <w:rFonts w:ascii="Times New Roman" w:hAnsi="Times New Roman"/>
                <w:sz w:val="24"/>
                <w:szCs w:val="24"/>
              </w:rPr>
              <w:t xml:space="preserve"> (DOT)</w:t>
            </w:r>
            <w:r w:rsidRPr="00E749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498C">
              <w:rPr>
                <w:rFonts w:ascii="Times New Roman" w:hAnsi="Times New Roman"/>
                <w:sz w:val="24"/>
                <w:szCs w:val="24"/>
              </w:rPr>
              <w:t>This initiative will greatly benefit local leaders as they seek additional resources to implement the Basin’s innovative 21</w:t>
            </w:r>
            <w:r w:rsidRPr="00E7498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7498C">
              <w:rPr>
                <w:rFonts w:ascii="Times New Roman" w:hAnsi="Times New Roman"/>
                <w:sz w:val="24"/>
                <w:szCs w:val="24"/>
              </w:rPr>
              <w:t xml:space="preserve"> century highway and transit plans. This language, which was advocated by Congressmen</w:t>
            </w:r>
            <w:r w:rsidR="00457C83">
              <w:rPr>
                <w:rFonts w:ascii="Times New Roman" w:hAnsi="Times New Roman"/>
                <w:sz w:val="24"/>
                <w:szCs w:val="24"/>
              </w:rPr>
              <w:t xml:space="preserve"> Mark</w:t>
            </w:r>
            <w:r w:rsidRPr="00E7498C">
              <w:rPr>
                <w:rFonts w:ascii="Times New Roman" w:hAnsi="Times New Roman"/>
                <w:sz w:val="24"/>
                <w:szCs w:val="24"/>
              </w:rPr>
              <w:t xml:space="preserve"> Amodei (R-NV) and </w:t>
            </w:r>
            <w:r w:rsidR="00457C83">
              <w:rPr>
                <w:rFonts w:ascii="Times New Roman" w:hAnsi="Times New Roman"/>
                <w:sz w:val="24"/>
                <w:szCs w:val="24"/>
              </w:rPr>
              <w:t xml:space="preserve">John </w:t>
            </w:r>
            <w:r w:rsidRPr="00E7498C">
              <w:rPr>
                <w:rFonts w:ascii="Times New Roman" w:hAnsi="Times New Roman"/>
                <w:sz w:val="24"/>
                <w:szCs w:val="24"/>
              </w:rPr>
              <w:t xml:space="preserve">Garamendi (D-CA) in the House, is similar to Section 7(c) of the </w:t>
            </w:r>
            <w:r w:rsidRPr="003F3811">
              <w:rPr>
                <w:rFonts w:ascii="Times New Roman" w:hAnsi="Times New Roman"/>
                <w:i/>
                <w:sz w:val="24"/>
                <w:szCs w:val="24"/>
              </w:rPr>
              <w:t>Lake Tahoe Restoration Act</w:t>
            </w:r>
            <w:r w:rsidRPr="00E749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1" w:history="1">
              <w:r w:rsidRPr="00E749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S.1724</w:t>
              </w:r>
            </w:hyperlink>
            <w:r w:rsidRPr="00E7498C">
              <w:rPr>
                <w:rFonts w:ascii="Times New Roman" w:hAnsi="Times New Roman"/>
                <w:sz w:val="24"/>
                <w:szCs w:val="24"/>
              </w:rPr>
              <w:t xml:space="preserve">) introduced by Senator Heller alongside Senators </w:t>
            </w:r>
            <w:r w:rsidR="0018782C">
              <w:rPr>
                <w:rFonts w:ascii="Times New Roman" w:hAnsi="Times New Roman"/>
                <w:sz w:val="24"/>
                <w:szCs w:val="24"/>
              </w:rPr>
              <w:t xml:space="preserve">Dianne </w:t>
            </w:r>
            <w:r w:rsidRPr="00E7498C">
              <w:rPr>
                <w:rFonts w:ascii="Times New Roman" w:hAnsi="Times New Roman"/>
                <w:sz w:val="24"/>
                <w:szCs w:val="24"/>
              </w:rPr>
              <w:t xml:space="preserve">Feinstein (D-CA), </w:t>
            </w:r>
            <w:r w:rsidR="0018782C">
              <w:rPr>
                <w:rFonts w:ascii="Times New Roman" w:hAnsi="Times New Roman"/>
                <w:sz w:val="24"/>
                <w:szCs w:val="24"/>
              </w:rPr>
              <w:t xml:space="preserve">Barbara </w:t>
            </w:r>
            <w:r w:rsidRPr="00E7498C">
              <w:rPr>
                <w:rFonts w:ascii="Times New Roman" w:hAnsi="Times New Roman"/>
                <w:sz w:val="24"/>
                <w:szCs w:val="24"/>
              </w:rPr>
              <w:t xml:space="preserve">Boxer (D-CA), and </w:t>
            </w:r>
            <w:r w:rsidR="0018782C">
              <w:rPr>
                <w:rFonts w:ascii="Times New Roman" w:hAnsi="Times New Roman"/>
                <w:sz w:val="24"/>
                <w:szCs w:val="24"/>
              </w:rPr>
              <w:t xml:space="preserve">Harry </w:t>
            </w:r>
            <w:r w:rsidRPr="00E7498C">
              <w:rPr>
                <w:rFonts w:ascii="Times New Roman" w:hAnsi="Times New Roman"/>
                <w:sz w:val="24"/>
                <w:szCs w:val="24"/>
              </w:rPr>
              <w:t xml:space="preserve">Reid (D-NV) earlier this </w:t>
            </w:r>
            <w:r w:rsidR="0018782C">
              <w:rPr>
                <w:rFonts w:ascii="Times New Roman" w:hAnsi="Times New Roman"/>
                <w:sz w:val="24"/>
                <w:szCs w:val="24"/>
              </w:rPr>
              <w:t>year</w:t>
            </w:r>
            <w:r w:rsidRPr="00E749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853337" w14:textId="057C4544" w:rsidR="009D4CB9" w:rsidRPr="00074F2A" w:rsidRDefault="009D4CB9" w:rsidP="009D4CB9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074F2A">
              <w:rPr>
                <w:i/>
              </w:rPr>
              <w:t>Tourism Infrastructure Improvement Provisions</w:t>
            </w:r>
            <w:r w:rsidRPr="00074F2A">
              <w:rPr>
                <w:b/>
                <w:bCs/>
              </w:rPr>
              <w:t xml:space="preserve"> </w:t>
            </w:r>
            <w:r w:rsidRPr="00074F2A">
              <w:t xml:space="preserve">ensure long-term transportation plans consider strategies </w:t>
            </w:r>
            <w:r w:rsidR="0018782C">
              <w:t>to</w:t>
            </w:r>
            <w:r w:rsidRPr="00074F2A">
              <w:t xml:space="preserve"> promote tourism </w:t>
            </w:r>
            <w:r w:rsidR="0018782C">
              <w:t xml:space="preserve">and improve traveler mobility. </w:t>
            </w:r>
            <w:r w:rsidRPr="00074F2A">
              <w:t xml:space="preserve">Specifically, the </w:t>
            </w:r>
            <w:r w:rsidRPr="00074F2A">
              <w:lastRenderedPageBreak/>
              <w:t xml:space="preserve">provisions in the bill ensure important travel organizations, like the Las Vegas Convention and Visitors Authority and the Reno-Sparks Convention and Visitors Authority, are incorporated in long-term transportation planning at the </w:t>
            </w:r>
            <w:r w:rsidR="0018782C">
              <w:t>federal, state, and local level.</w:t>
            </w:r>
            <w:r w:rsidRPr="00074F2A">
              <w:t xml:space="preserve"> </w:t>
            </w:r>
            <w:hyperlink r:id="rId12" w:history="1">
              <w:r w:rsidRPr="0018782C">
                <w:rPr>
                  <w:rStyle w:val="Hyperlink"/>
                </w:rPr>
                <w:t>Senator Heller teamed up with Senator Brian Schatz</w:t>
              </w:r>
            </w:hyperlink>
            <w:r w:rsidRPr="00074F2A">
              <w:t xml:space="preserve"> (D-HI) to advocate for these provisions.</w:t>
            </w:r>
          </w:p>
          <w:p w14:paraId="2E0A98AD" w14:textId="61A173BA" w:rsidR="009D4CB9" w:rsidRPr="00803085" w:rsidRDefault="009D4CB9" w:rsidP="009D4CB9">
            <w:pPr>
              <w:spacing w:after="240"/>
              <w:rPr>
                <w:b/>
              </w:rPr>
            </w:pPr>
            <w:r w:rsidRPr="00803085">
              <w:rPr>
                <w:b/>
              </w:rPr>
              <w:t xml:space="preserve">As a member of the Senate Commerce, Science, </w:t>
            </w:r>
            <w:r w:rsidR="00457C83">
              <w:rPr>
                <w:b/>
              </w:rPr>
              <w:t>&amp;</w:t>
            </w:r>
            <w:r w:rsidRPr="00803085">
              <w:rPr>
                <w:b/>
              </w:rPr>
              <w:t xml:space="preserve"> Transportation Committee, Senator Heller prioritized national policies aimed at improving transportation safety and providing common-sense regulatory relief.  He was successful in securing </w:t>
            </w:r>
            <w:r>
              <w:rPr>
                <w:b/>
              </w:rPr>
              <w:t xml:space="preserve">the following </w:t>
            </w:r>
            <w:r w:rsidR="004607F2">
              <w:rPr>
                <w:b/>
              </w:rPr>
              <w:t>three</w:t>
            </w:r>
            <w:r w:rsidRPr="00803085">
              <w:rPr>
                <w:b/>
              </w:rPr>
              <w:t xml:space="preserve"> provisions in the fin</w:t>
            </w:r>
            <w:r>
              <w:rPr>
                <w:b/>
              </w:rPr>
              <w:t>al bill focused on these goals:</w:t>
            </w:r>
          </w:p>
          <w:p w14:paraId="678FFA90" w14:textId="70C59409" w:rsidR="009D4CB9" w:rsidRDefault="009D4CB9" w:rsidP="009D4CB9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Safety Through Informed Consumers Act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(STICRS) (</w:t>
            </w:r>
            <w:hyperlink r:id="rId13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S. 1535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 promotes safer cars by requiring the National Highway Traffic Safety Administration (NHTSA) to integrate crash-avoidance technologies, such as active braking and lane departure warning systems, into its safety rating that must be displayed on the car’s stick</w:t>
            </w:r>
            <w:r w:rsidR="0018782C">
              <w:rPr>
                <w:rFonts w:ascii="Times New Roman" w:hAnsi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Senators Heller and Edward Markey (D-MA) joined with </w:t>
            </w:r>
            <w:r w:rsidR="00BC6489">
              <w:rPr>
                <w:rFonts w:ascii="Times New Roman" w:hAnsi="Times New Roman"/>
                <w:sz w:val="24"/>
                <w:szCs w:val="24"/>
              </w:rPr>
              <w:t>Congressmen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Todd Rokita (R-IN) and Earl Blumenauer (D-OR) on this bipartisan, bicameral legislation introduced earlier this year.</w:t>
            </w:r>
          </w:p>
          <w:p w14:paraId="198C5EBA" w14:textId="77777777" w:rsidR="009D4CB9" w:rsidRDefault="003F3811" w:rsidP="009D4CB9">
            <w:pPr>
              <w:numPr>
                <w:ilvl w:val="0"/>
                <w:numId w:val="6"/>
              </w:numPr>
              <w:spacing w:before="100" w:beforeAutospacing="1" w:after="240"/>
            </w:pPr>
            <w:hyperlink r:id="rId14" w:history="1">
              <w:r w:rsidR="009D4CB9">
                <w:rPr>
                  <w:rStyle w:val="Hyperlink"/>
                  <w:i/>
                  <w:iCs/>
                </w:rPr>
                <w:t>Hours of Service (HOS) Exemption Provision</w:t>
              </w:r>
            </w:hyperlink>
            <w:r w:rsidR="009D4CB9">
              <w:rPr>
                <w:i/>
                <w:iCs/>
              </w:rPr>
              <w:t xml:space="preserve"> </w:t>
            </w:r>
            <w:r w:rsidR="009D4CB9">
              <w:t xml:space="preserve">makes the existing HOS exemption for perishable goods, such as concrete, permanent. Under an existing rule, drivers of commercial motor vehicles are required to take a 30-minute break after at most eight consecutive hours of work. Some short distance carriers find it difficult to implement this regulation given the unique conditions of their work. Once a delivery is started, it must be completed or the concrete may harden in the truck, causing thousands of dollars in damage. </w:t>
            </w:r>
          </w:p>
          <w:p w14:paraId="50A179E3" w14:textId="668BB5B8" w:rsidR="009D4CB9" w:rsidRPr="008451F9" w:rsidRDefault="0018782C" w:rsidP="0018782C">
            <w:pPr>
              <w:numPr>
                <w:ilvl w:val="0"/>
                <w:numId w:val="6"/>
              </w:numPr>
              <w:spacing w:before="100" w:beforeAutospacing="1" w:after="240"/>
            </w:pPr>
            <w:r w:rsidRPr="0018782C">
              <w:rPr>
                <w:i/>
              </w:rPr>
              <w:t xml:space="preserve">The </w:t>
            </w:r>
            <w:r w:rsidR="009D4CB9" w:rsidRPr="0018782C">
              <w:rPr>
                <w:i/>
              </w:rPr>
              <w:t>Low Volume Motor Vehicle Manufacturers Act</w:t>
            </w:r>
            <w:r w:rsidR="009D4CB9" w:rsidRPr="009D4CB9">
              <w:t xml:space="preserve"> </w:t>
            </w:r>
            <w:r w:rsidR="009D4CB9" w:rsidRPr="008451F9">
              <w:t xml:space="preserve">provides relief from </w:t>
            </w:r>
            <w:r>
              <w:t xml:space="preserve">the </w:t>
            </w:r>
            <w:r w:rsidRPr="0018782C">
              <w:t>N</w:t>
            </w:r>
            <w:r w:rsidR="000E2166">
              <w:t xml:space="preserve">HTSA’s </w:t>
            </w:r>
            <w:r w:rsidR="009D4CB9" w:rsidRPr="008451F9">
              <w:t>decades old “one-size-fits-all” regulations for vehicle manufacturers</w:t>
            </w:r>
            <w:r w:rsidR="00B42372">
              <w:t xml:space="preserve">. Specifically, it establishes </w:t>
            </w:r>
            <w:r w:rsidR="009D4CB9" w:rsidRPr="008451F9">
              <w:t xml:space="preserve">a reasonable framework for </w:t>
            </w:r>
            <w:r w:rsidR="00B42372">
              <w:t xml:space="preserve">the production of replica cars – </w:t>
            </w:r>
            <w:r w:rsidR="009D4CB9" w:rsidRPr="008451F9">
              <w:t>often 1930’s hot rods, 1950’s classics and 1965 Cobras</w:t>
            </w:r>
            <w:r w:rsidR="00B42372">
              <w:t xml:space="preserve"> – so that work is </w:t>
            </w:r>
            <w:r w:rsidR="009D4CB9" w:rsidRPr="008451F9">
              <w:t xml:space="preserve">not treated the same as the mass production of cars by global auto manufacturers. </w:t>
            </w:r>
            <w:hyperlink r:id="rId15" w:history="1">
              <w:r w:rsidR="009D4CB9" w:rsidRPr="001F7D3B">
                <w:rPr>
                  <w:rStyle w:val="Hyperlink"/>
                </w:rPr>
                <w:t>Senator Heller teamed up with Senator Jon Tester (D-MT)</w:t>
              </w:r>
            </w:hyperlink>
            <w:r w:rsidR="009D4CB9" w:rsidRPr="008451F9">
              <w:t xml:space="preserve"> </w:t>
            </w:r>
            <w:r w:rsidR="009D4CB9">
              <w:t xml:space="preserve">to </w:t>
            </w:r>
            <w:r w:rsidR="009D4CB9" w:rsidRPr="008451F9">
              <w:t xml:space="preserve">advocate for this legislation developed by Congressman Markwayne Mullin </w:t>
            </w:r>
            <w:r w:rsidR="009D4CB9">
              <w:t xml:space="preserve">(R-OK) </w:t>
            </w:r>
            <w:r>
              <w:t xml:space="preserve">in the House. </w:t>
            </w:r>
            <w:r w:rsidR="009D4CB9" w:rsidRPr="008451F9">
              <w:t>In Nevada, over 100 spec</w:t>
            </w:r>
            <w:r w:rsidR="003F3811">
              <w:t>ialty auto-</w:t>
            </w:r>
            <w:bookmarkStart w:id="0" w:name="_GoBack"/>
            <w:bookmarkEnd w:id="0"/>
            <w:r w:rsidR="009D4CB9">
              <w:t xml:space="preserve">parts marketers </w:t>
            </w:r>
            <w:r w:rsidR="009D4CB9" w:rsidRPr="008451F9">
              <w:t>are specifically involved in these types of replica cars.</w:t>
            </w:r>
          </w:p>
          <w:p w14:paraId="43C15201" w14:textId="7E5AE92B" w:rsidR="004620DB" w:rsidRDefault="00B42372" w:rsidP="009D4CB9">
            <w:pPr>
              <w:spacing w:before="100" w:beforeAutospacing="1" w:after="240"/>
            </w:pPr>
            <w:r>
              <w:t xml:space="preserve">Additionally, </w:t>
            </w:r>
            <w:r w:rsidR="005E2B49">
              <w:t>Senator Heller’s</w:t>
            </w:r>
            <w:r w:rsidR="004620DB">
              <w:t xml:space="preserve"> </w:t>
            </w:r>
            <w:r w:rsidR="004607F2">
              <w:t xml:space="preserve">joint </w:t>
            </w:r>
            <w:r w:rsidR="004620DB">
              <w:t>provision to help rural communities harmed by Obama Administration policies that restrict access to rural lending opportunities</w:t>
            </w:r>
            <w:r w:rsidR="000E2166">
              <w:t xml:space="preserve"> was included in the final long-term surface transportation reauthorization bill</w:t>
            </w:r>
            <w:r w:rsidR="004620DB">
              <w:t xml:space="preserve">. </w:t>
            </w:r>
            <w:hyperlink r:id="rId16" w:history="1">
              <w:r w:rsidR="004620DB" w:rsidRPr="004620DB">
                <w:rPr>
                  <w:rStyle w:val="Hyperlink"/>
                  <w:i/>
                </w:rPr>
                <w:t>The Helping Expand Lending Practices in (HELP) Rural Communities Act</w:t>
              </w:r>
            </w:hyperlink>
            <w:r w:rsidR="004620DB">
              <w:t xml:space="preserve">, which Heller </w:t>
            </w:r>
            <w:r w:rsidR="005E2B49">
              <w:t>co-authored</w:t>
            </w:r>
            <w:r w:rsidR="004620DB">
              <w:t xml:space="preserve"> alongside Senators Mitch McConnell (R</w:t>
            </w:r>
            <w:r w:rsidR="00BC6489">
              <w:t>-KY), Shelley Moore Capito (R-W</w:t>
            </w:r>
            <w:r w:rsidR="004620DB">
              <w:t xml:space="preserve">V) and Rand Paul (R-KY), provides rural communities with better access to credit opportunities that can help grow their local economies. </w:t>
            </w:r>
          </w:p>
          <w:p w14:paraId="5DCDC717" w14:textId="4BB7E141" w:rsidR="009D4CB9" w:rsidRPr="00E75746" w:rsidRDefault="009D4CB9" w:rsidP="009D4CB9">
            <w:pPr>
              <w:spacing w:before="100" w:beforeAutospacing="1" w:after="240"/>
            </w:pPr>
            <w:r w:rsidRPr="00E75746">
              <w:t>Senator Heller sits on three of the four</w:t>
            </w:r>
            <w:r>
              <w:t xml:space="preserve"> Senate</w:t>
            </w:r>
            <w:r w:rsidRPr="00E75746">
              <w:t xml:space="preserve"> committees responsible </w:t>
            </w:r>
            <w:r>
              <w:t>for</w:t>
            </w:r>
            <w:r w:rsidRPr="00E75746">
              <w:t xml:space="preserve"> developing transportation policies: the </w:t>
            </w:r>
            <w:r w:rsidR="0018782C" w:rsidRPr="0018782C">
              <w:t>Committee on Finance</w:t>
            </w:r>
            <w:r w:rsidR="00014979">
              <w:t>;</w:t>
            </w:r>
            <w:r w:rsidRPr="00E75746">
              <w:t xml:space="preserve"> the </w:t>
            </w:r>
            <w:r w:rsidR="00014979">
              <w:t xml:space="preserve">Committee on Commerce, Science, &amp; </w:t>
            </w:r>
            <w:r w:rsidR="00014979">
              <w:lastRenderedPageBreak/>
              <w:t>Transportation;</w:t>
            </w:r>
            <w:r w:rsidRPr="00E75746">
              <w:t xml:space="preserve"> and the Banking</w:t>
            </w:r>
            <w:r w:rsidR="00014979">
              <w:t xml:space="preserve">, Housing, &amp; Urban Affairs Committee. </w:t>
            </w:r>
            <w:r>
              <w:t xml:space="preserve">He worked in a bipartisan manner on each of the </w:t>
            </w:r>
            <w:r w:rsidR="00E671E7">
              <w:t>six</w:t>
            </w:r>
            <w:r>
              <w:t xml:space="preserve"> </w:t>
            </w:r>
            <w:r w:rsidR="000E2166">
              <w:t xml:space="preserve">transportation </w:t>
            </w:r>
            <w:r>
              <w:t xml:space="preserve">initiatives successfully included in the final highway bill.  </w:t>
            </w:r>
          </w:p>
          <w:p w14:paraId="3A5B9E17" w14:textId="77777777" w:rsidR="009D4CB9" w:rsidRDefault="009D4CB9" w:rsidP="009D4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###</w:t>
            </w:r>
          </w:p>
          <w:p w14:paraId="67CC9EF0" w14:textId="77777777" w:rsidR="0057797F" w:rsidRDefault="0057797F" w:rsidP="0057797F">
            <w:pPr>
              <w:jc w:val="center"/>
            </w:pPr>
          </w:p>
          <w:p w14:paraId="2FFA3B13" w14:textId="77777777"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8FBA045" wp14:editId="784053E6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6DFA0C7" wp14:editId="5C27E6CE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1CE57FD" wp14:editId="64122EA5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9123C" w14:textId="77777777"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14:paraId="21EBB1B0" w14:textId="6A73D07E"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6FC1"/>
    <w:multiLevelType w:val="multilevel"/>
    <w:tmpl w:val="1B6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42E7B"/>
    <w:multiLevelType w:val="hybridMultilevel"/>
    <w:tmpl w:val="979CB378"/>
    <w:lvl w:ilvl="0" w:tplc="51163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1F48"/>
    <w:multiLevelType w:val="hybridMultilevel"/>
    <w:tmpl w:val="800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4979"/>
    <w:rsid w:val="00015B5B"/>
    <w:rsid w:val="000252FB"/>
    <w:rsid w:val="00026DAC"/>
    <w:rsid w:val="00034028"/>
    <w:rsid w:val="00062FC3"/>
    <w:rsid w:val="000656B9"/>
    <w:rsid w:val="000726A4"/>
    <w:rsid w:val="0009577B"/>
    <w:rsid w:val="00097FA6"/>
    <w:rsid w:val="000C2D7A"/>
    <w:rsid w:val="000C3916"/>
    <w:rsid w:val="000C43CD"/>
    <w:rsid w:val="000D7D8B"/>
    <w:rsid w:val="000E1E59"/>
    <w:rsid w:val="000E2166"/>
    <w:rsid w:val="000E53A1"/>
    <w:rsid w:val="000F2396"/>
    <w:rsid w:val="000F470E"/>
    <w:rsid w:val="0010711A"/>
    <w:rsid w:val="00133E54"/>
    <w:rsid w:val="001363E7"/>
    <w:rsid w:val="00147EC3"/>
    <w:rsid w:val="00183296"/>
    <w:rsid w:val="0018782C"/>
    <w:rsid w:val="00190BB5"/>
    <w:rsid w:val="001A20FF"/>
    <w:rsid w:val="001B3C09"/>
    <w:rsid w:val="001C330B"/>
    <w:rsid w:val="001E791A"/>
    <w:rsid w:val="001E7D2B"/>
    <w:rsid w:val="001F3B93"/>
    <w:rsid w:val="001F68F1"/>
    <w:rsid w:val="001F7D3B"/>
    <w:rsid w:val="002017CB"/>
    <w:rsid w:val="00202893"/>
    <w:rsid w:val="0021049E"/>
    <w:rsid w:val="00226558"/>
    <w:rsid w:val="002611DC"/>
    <w:rsid w:val="00264563"/>
    <w:rsid w:val="002705E2"/>
    <w:rsid w:val="00283CA4"/>
    <w:rsid w:val="002C4349"/>
    <w:rsid w:val="002D09C1"/>
    <w:rsid w:val="002E76FB"/>
    <w:rsid w:val="002F03F7"/>
    <w:rsid w:val="002F5861"/>
    <w:rsid w:val="00304A38"/>
    <w:rsid w:val="00320097"/>
    <w:rsid w:val="0033010E"/>
    <w:rsid w:val="003347A2"/>
    <w:rsid w:val="00342362"/>
    <w:rsid w:val="00353AA4"/>
    <w:rsid w:val="0037625A"/>
    <w:rsid w:val="003A08C8"/>
    <w:rsid w:val="003B5DDB"/>
    <w:rsid w:val="003B7797"/>
    <w:rsid w:val="003C4208"/>
    <w:rsid w:val="003D05A0"/>
    <w:rsid w:val="003F3811"/>
    <w:rsid w:val="00411FDD"/>
    <w:rsid w:val="004138AF"/>
    <w:rsid w:val="00413C3D"/>
    <w:rsid w:val="00425301"/>
    <w:rsid w:val="00443D50"/>
    <w:rsid w:val="0044565F"/>
    <w:rsid w:val="00446AD2"/>
    <w:rsid w:val="00457C83"/>
    <w:rsid w:val="004607F2"/>
    <w:rsid w:val="004620DB"/>
    <w:rsid w:val="00463D19"/>
    <w:rsid w:val="004A3809"/>
    <w:rsid w:val="004B2C96"/>
    <w:rsid w:val="004B6797"/>
    <w:rsid w:val="004D49A5"/>
    <w:rsid w:val="004E4020"/>
    <w:rsid w:val="004F5BBB"/>
    <w:rsid w:val="004F62B8"/>
    <w:rsid w:val="0051477D"/>
    <w:rsid w:val="00516650"/>
    <w:rsid w:val="0052647C"/>
    <w:rsid w:val="0053229F"/>
    <w:rsid w:val="0053701B"/>
    <w:rsid w:val="00560007"/>
    <w:rsid w:val="00571696"/>
    <w:rsid w:val="0057797F"/>
    <w:rsid w:val="00580E98"/>
    <w:rsid w:val="005A41D9"/>
    <w:rsid w:val="005C00B5"/>
    <w:rsid w:val="005C0224"/>
    <w:rsid w:val="005D1DB8"/>
    <w:rsid w:val="005E2B49"/>
    <w:rsid w:val="00601400"/>
    <w:rsid w:val="0061733A"/>
    <w:rsid w:val="00622223"/>
    <w:rsid w:val="00633090"/>
    <w:rsid w:val="006425A6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55C81"/>
    <w:rsid w:val="00762113"/>
    <w:rsid w:val="00762995"/>
    <w:rsid w:val="007671D7"/>
    <w:rsid w:val="00780B54"/>
    <w:rsid w:val="00791380"/>
    <w:rsid w:val="007A1F6B"/>
    <w:rsid w:val="007A265F"/>
    <w:rsid w:val="007D31FC"/>
    <w:rsid w:val="007D5CFA"/>
    <w:rsid w:val="007E0726"/>
    <w:rsid w:val="007E2DDD"/>
    <w:rsid w:val="007E337C"/>
    <w:rsid w:val="007E4DA9"/>
    <w:rsid w:val="007F2B5B"/>
    <w:rsid w:val="0080185E"/>
    <w:rsid w:val="00807AB7"/>
    <w:rsid w:val="00827203"/>
    <w:rsid w:val="00835415"/>
    <w:rsid w:val="00862500"/>
    <w:rsid w:val="00870869"/>
    <w:rsid w:val="00871988"/>
    <w:rsid w:val="00873E30"/>
    <w:rsid w:val="00881269"/>
    <w:rsid w:val="0089589C"/>
    <w:rsid w:val="008A17C9"/>
    <w:rsid w:val="008C52EE"/>
    <w:rsid w:val="008C5E11"/>
    <w:rsid w:val="008E3D5A"/>
    <w:rsid w:val="008E4445"/>
    <w:rsid w:val="008F7E41"/>
    <w:rsid w:val="00942615"/>
    <w:rsid w:val="00945F11"/>
    <w:rsid w:val="009528E2"/>
    <w:rsid w:val="00960792"/>
    <w:rsid w:val="0098084A"/>
    <w:rsid w:val="00987B21"/>
    <w:rsid w:val="00990CAF"/>
    <w:rsid w:val="009938F1"/>
    <w:rsid w:val="009950B1"/>
    <w:rsid w:val="009967C8"/>
    <w:rsid w:val="009A5285"/>
    <w:rsid w:val="009B5E39"/>
    <w:rsid w:val="009C34E4"/>
    <w:rsid w:val="009D4CB9"/>
    <w:rsid w:val="009E4B1E"/>
    <w:rsid w:val="009E6BAE"/>
    <w:rsid w:val="00A07833"/>
    <w:rsid w:val="00A134DB"/>
    <w:rsid w:val="00A220D5"/>
    <w:rsid w:val="00A35860"/>
    <w:rsid w:val="00A430E4"/>
    <w:rsid w:val="00A6067B"/>
    <w:rsid w:val="00A643AC"/>
    <w:rsid w:val="00A74C55"/>
    <w:rsid w:val="00A77ACF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557D"/>
    <w:rsid w:val="00B06D01"/>
    <w:rsid w:val="00B271F2"/>
    <w:rsid w:val="00B42372"/>
    <w:rsid w:val="00B42D1D"/>
    <w:rsid w:val="00B47C2F"/>
    <w:rsid w:val="00B5000D"/>
    <w:rsid w:val="00B75E62"/>
    <w:rsid w:val="00BA0607"/>
    <w:rsid w:val="00BA51D5"/>
    <w:rsid w:val="00BA783A"/>
    <w:rsid w:val="00BB0C7D"/>
    <w:rsid w:val="00BC6489"/>
    <w:rsid w:val="00BF712C"/>
    <w:rsid w:val="00C013B3"/>
    <w:rsid w:val="00C26677"/>
    <w:rsid w:val="00C36156"/>
    <w:rsid w:val="00C42B95"/>
    <w:rsid w:val="00C64C41"/>
    <w:rsid w:val="00C6646C"/>
    <w:rsid w:val="00C66B81"/>
    <w:rsid w:val="00C767B7"/>
    <w:rsid w:val="00C93D8F"/>
    <w:rsid w:val="00C96034"/>
    <w:rsid w:val="00CA63A2"/>
    <w:rsid w:val="00CA7728"/>
    <w:rsid w:val="00CD4730"/>
    <w:rsid w:val="00CE3852"/>
    <w:rsid w:val="00D01DD0"/>
    <w:rsid w:val="00D135D0"/>
    <w:rsid w:val="00D14576"/>
    <w:rsid w:val="00D27611"/>
    <w:rsid w:val="00D35FA5"/>
    <w:rsid w:val="00DA0843"/>
    <w:rsid w:val="00DA1AFE"/>
    <w:rsid w:val="00DC70D2"/>
    <w:rsid w:val="00DD0F06"/>
    <w:rsid w:val="00DE3792"/>
    <w:rsid w:val="00DE6BF4"/>
    <w:rsid w:val="00E04733"/>
    <w:rsid w:val="00E10DEB"/>
    <w:rsid w:val="00E1448D"/>
    <w:rsid w:val="00E24BC4"/>
    <w:rsid w:val="00E32DE4"/>
    <w:rsid w:val="00E37EC2"/>
    <w:rsid w:val="00E42A79"/>
    <w:rsid w:val="00E462EF"/>
    <w:rsid w:val="00E62E5B"/>
    <w:rsid w:val="00E66B04"/>
    <w:rsid w:val="00E671E7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443F4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021D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D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B9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B9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2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pressreleases?ID=2ade13aa-d58f-40b8-8bbd-88a826ae33da" TargetMode="External"/><Relationship Id="rId13" Type="http://schemas.openxmlformats.org/officeDocument/2006/relationships/hyperlink" Target="http://www.heller.senate.gov/public/index.cfm/pressreleases?ID=bf083596-f1d1-4f1a-a103-4ecaba12c55f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www.heller.senate.gov/public/_cache/files/5c239de3-bb45-4b47-9199-571b1627dad0/Tourism%20Letter%20to%20Highway%20Conference.pdf" TargetMode="External"/><Relationship Id="rId17" Type="http://schemas.openxmlformats.org/officeDocument/2006/relationships/hyperlink" Target="http://www.facebook.com/pages/US-Senator-Dean-Heller/325751330177" TargetMode="External"/><Relationship Id="rId25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ller.senate.gov/public/index.cfm/2015/3/senators-heller-mcconnell-capito-and-paul-introduce-legislation-to-help-america-s-rural-communities" TargetMode="External"/><Relationship Id="rId20" Type="http://schemas.openxmlformats.org/officeDocument/2006/relationships/hyperlink" Target="http://twitter.com/SenDeanHelle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heller.senate.gov/public/index.cfm/pressreleases?ID=b34df278-63bc-4bdd-9505-30db51d68929" TargetMode="External"/><Relationship Id="rId24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www.heller.senate.gov/public/_cache/files/1267a409-7415-4f1f-a18a-6fb58a683dfa/Low%20Volume%20Vehicle%20Manufacturers%20Transp%20Conference%20Letter.pdf" TargetMode="External"/><Relationship Id="rId23" Type="http://schemas.openxmlformats.org/officeDocument/2006/relationships/hyperlink" Target="http://www.youtube.com/user/SenDeanHeller" TargetMode="External"/><Relationship Id="rId10" Type="http://schemas.openxmlformats.org/officeDocument/2006/relationships/hyperlink" Target="http://www.heller.senate.gov/public/index.cfm/pressreleases?ID=f0b7befb-61f2-44d1-ab0d-be49ae502e2a" TargetMode="External"/><Relationship Id="rId19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portation.house.gov/uploadedfiles/fastact_xml.pdf" TargetMode="External"/><Relationship Id="rId14" Type="http://schemas.openxmlformats.org/officeDocument/2006/relationships/hyperlink" Target="http://www.heller.senate.gov/public/index.cfm/pressreleases?ID=ff26a037-66f9-4443-a3ad-834b7858213b" TargetMode="External"/><Relationship Id="rId22" Type="http://schemas.openxmlformats.org/officeDocument/2006/relationships/image" Target="cid:image004.png@01D07908.A11AC5D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19</cp:revision>
  <cp:lastPrinted>2015-12-01T20:14:00Z</cp:lastPrinted>
  <dcterms:created xsi:type="dcterms:W3CDTF">2015-11-30T23:24:00Z</dcterms:created>
  <dcterms:modified xsi:type="dcterms:W3CDTF">2015-12-01T20:24:00Z</dcterms:modified>
</cp:coreProperties>
</file>