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2E2B8F" w:rsidP="0081314C">
                  <w:pPr>
                    <w:rPr>
                      <w:b/>
                    </w:rPr>
                  </w:pPr>
                  <w:r>
                    <w:t>February 3,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0C3FE7" w:rsidRDefault="00392D70" w:rsidP="00E152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Pr="00392D70">
              <w:rPr>
                <w:b/>
                <w:sz w:val="36"/>
                <w:szCs w:val="36"/>
              </w:rPr>
              <w:t xml:space="preserve">Highlights </w:t>
            </w:r>
            <w:r>
              <w:rPr>
                <w:b/>
                <w:sz w:val="36"/>
                <w:szCs w:val="36"/>
              </w:rPr>
              <w:t>Comprehensive Energy Bill P</w:t>
            </w:r>
            <w:r w:rsidRPr="00392D70">
              <w:rPr>
                <w:b/>
                <w:sz w:val="36"/>
                <w:szCs w:val="36"/>
              </w:rPr>
              <w:t>riorities</w:t>
            </w:r>
          </w:p>
          <w:p w:rsidR="006F2F76" w:rsidRPr="006F2F76" w:rsidRDefault="00392D70" w:rsidP="00E152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Discusses</w:t>
            </w:r>
            <w:r w:rsidR="006F2F76">
              <w:rPr>
                <w:i/>
                <w:sz w:val="28"/>
                <w:szCs w:val="28"/>
              </w:rPr>
              <w:t xml:space="preserve"> his amendments to spur innovation, create jobs, increase domestic energy supply and mineral production, and reduce regulations</w:t>
            </w:r>
          </w:p>
          <w:p w:rsidR="006F2F76" w:rsidRDefault="006F2F76" w:rsidP="006F2F76">
            <w:pPr>
              <w:rPr>
                <w:b/>
              </w:rPr>
            </w:pPr>
          </w:p>
          <w:p w:rsidR="00CD6305" w:rsidRPr="00984C20" w:rsidRDefault="00837950" w:rsidP="00CD6305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36102F">
              <w:t xml:space="preserve"> </w:t>
            </w:r>
            <w:r w:rsidR="00830019" w:rsidRPr="00710A1F">
              <w:rPr>
                <w:shd w:val="clear" w:color="auto" w:fill="FFFFFF"/>
              </w:rPr>
              <w:t xml:space="preserve">Today, U.S. Senator Dean Heller (R-NV) spoke </w:t>
            </w:r>
            <w:r w:rsidR="00702648">
              <w:rPr>
                <w:shd w:val="clear" w:color="auto" w:fill="FFFFFF"/>
              </w:rPr>
              <w:t>on the Senate floor</w:t>
            </w:r>
            <w:r w:rsidR="00550EAE">
              <w:rPr>
                <w:shd w:val="clear" w:color="auto" w:fill="FFFFFF"/>
              </w:rPr>
              <w:t xml:space="preserve"> </w:t>
            </w:r>
            <w:r w:rsidR="00702648">
              <w:rPr>
                <w:shd w:val="clear" w:color="auto" w:fill="FFFFFF"/>
              </w:rPr>
              <w:t xml:space="preserve">regarding </w:t>
            </w:r>
            <w:r w:rsidR="002E2B8F">
              <w:rPr>
                <w:shd w:val="clear" w:color="auto" w:fill="FFFFFF"/>
              </w:rPr>
              <w:t xml:space="preserve">the </w:t>
            </w:r>
            <w:hyperlink r:id="rId8" w:history="1">
              <w:r w:rsidR="006F2F76" w:rsidRPr="00F31A31">
                <w:rPr>
                  <w:rStyle w:val="Hyperlink"/>
                  <w:i/>
                  <w:iCs/>
                </w:rPr>
                <w:t>Energy Policy Modernization Act of 2015</w:t>
              </w:r>
            </w:hyperlink>
            <w:r w:rsidR="006F2F76" w:rsidRPr="00F31A31">
              <w:t xml:space="preserve"> (</w:t>
            </w:r>
            <w:hyperlink r:id="rId9" w:history="1">
              <w:r w:rsidR="006F2F76" w:rsidRPr="00F31A31">
                <w:rPr>
                  <w:rStyle w:val="Hyperlink"/>
                </w:rPr>
                <w:t>S. 2012</w:t>
              </w:r>
            </w:hyperlink>
            <w:r w:rsidR="006F2F76" w:rsidRPr="00F31A31">
              <w:t>)</w:t>
            </w:r>
            <w:r w:rsidR="002B4710">
              <w:rPr>
                <w:shd w:val="clear" w:color="auto" w:fill="FFFFFF"/>
              </w:rPr>
              <w:t xml:space="preserve">. </w:t>
            </w:r>
            <w:r w:rsidR="00835D64">
              <w:t xml:space="preserve">During </w:t>
            </w:r>
            <w:r w:rsidR="00550EAE">
              <w:t>his</w:t>
            </w:r>
            <w:r w:rsidR="00835D64">
              <w:t xml:space="preserve"> speech, Heller </w:t>
            </w:r>
            <w:r w:rsidR="00550EAE">
              <w:t xml:space="preserve">emphasized Nevada’s intricate role in clean energy production </w:t>
            </w:r>
            <w:r w:rsidR="00550EAE" w:rsidRPr="00550EAE">
              <w:t xml:space="preserve">and </w:t>
            </w:r>
            <w:r w:rsidR="00550EAE">
              <w:t xml:space="preserve">in </w:t>
            </w:r>
            <w:r w:rsidR="00550EAE" w:rsidRPr="00550EAE">
              <w:t xml:space="preserve">research and development on energy efficiency and other alternative technologies that are critical to </w:t>
            </w:r>
            <w:r w:rsidR="00550EAE">
              <w:t>the</w:t>
            </w:r>
            <w:r w:rsidR="00550EAE" w:rsidRPr="00550EAE">
              <w:t xml:space="preserve"> nation’s energy future</w:t>
            </w:r>
            <w:r w:rsidR="00835D64" w:rsidRPr="00550EAE">
              <w:t xml:space="preserve">. </w:t>
            </w:r>
            <w:r w:rsidR="00550EAE">
              <w:t xml:space="preserve">He also highlighted his provisions included in </w:t>
            </w:r>
            <w:r w:rsidR="006F2F76">
              <w:t>S. 2012</w:t>
            </w:r>
            <w:r w:rsidR="00550EAE">
              <w:t xml:space="preserve">, as well as </w:t>
            </w:r>
            <w:r w:rsidR="006F2F76">
              <w:t>the</w:t>
            </w:r>
            <w:r w:rsidR="00550EAE">
              <w:t xml:space="preserve"> amendments </w:t>
            </w:r>
            <w:r w:rsidR="006F2F76">
              <w:t xml:space="preserve">he offered to the legislation. </w:t>
            </w:r>
            <w:r w:rsidR="00CD6305" w:rsidRPr="00550EAE">
              <w:t xml:space="preserve">Click </w:t>
            </w:r>
            <w:hyperlink r:id="rId10" w:history="1">
              <w:r w:rsidR="00984C20" w:rsidRPr="00E66377">
                <w:rPr>
                  <w:rStyle w:val="Hyperlink"/>
                </w:rPr>
                <w:t>HERE</w:t>
              </w:r>
            </w:hyperlink>
            <w:r w:rsidR="00CD6305" w:rsidRPr="00550EAE">
              <w:t xml:space="preserve"> </w:t>
            </w:r>
            <w:r w:rsidR="000C3FE7" w:rsidRPr="00550EAE">
              <w:t>or</w:t>
            </w:r>
            <w:r w:rsidR="00CD6305" w:rsidRPr="00550EAE">
              <w:t xml:space="preserve"> belo</w:t>
            </w:r>
            <w:r w:rsidR="00CD6305" w:rsidRPr="00195874">
              <w:t xml:space="preserve">w </w:t>
            </w:r>
            <w:r w:rsidR="00CD6305">
              <w:t xml:space="preserve">to watch </w:t>
            </w:r>
            <w:r w:rsidR="00C61C9B">
              <w:t>Senator Heller’s</w:t>
            </w:r>
            <w:r w:rsidR="00CD6305">
              <w:t xml:space="preserve"> speech.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0604A0" w:rsidRDefault="000604A0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0604A0" w:rsidRDefault="00B457ED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248536" wp14:editId="7D6DA778">
                        <wp:extent cx="4805916" cy="2685528"/>
                        <wp:effectExtent l="0" t="0" r="0" b="635"/>
                        <wp:docPr id="2" name="Picture 2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0295" cy="2693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7ED" w:rsidRDefault="00B457ED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91283F" w:rsidRDefault="00E72F87" w:rsidP="00835D64">
                  <w:pPr>
                    <w:jc w:val="center"/>
                    <w:rPr>
                      <w:i/>
                    </w:rPr>
                  </w:pPr>
                  <w:r w:rsidRPr="006129E6">
                    <w:rPr>
                      <w:i/>
                    </w:rPr>
                    <w:t>“</w:t>
                  </w:r>
                  <w:r w:rsidR="0091283F">
                    <w:rPr>
                      <w:i/>
                    </w:rPr>
                    <w:t xml:space="preserve">Energy is not only one of Nevada’s but overall, one of our nation’s greatest assets. </w:t>
                  </w:r>
                </w:p>
                <w:p w:rsidR="0091283F" w:rsidRDefault="0091283F" w:rsidP="00835D64">
                  <w:pPr>
                    <w:jc w:val="center"/>
                    <w:rPr>
                      <w:i/>
                    </w:rPr>
                  </w:pPr>
                </w:p>
                <w:p w:rsidR="00AE5400" w:rsidRPr="006129E6" w:rsidRDefault="0091283F" w:rsidP="00835D6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“But Congress has not enacted comprehensive energy legislation in </w:t>
                  </w:r>
                  <w:r w:rsidR="00392D70">
                    <w:rPr>
                      <w:i/>
                    </w:rPr>
                    <w:t xml:space="preserve">nearly </w:t>
                  </w:r>
                  <w:r>
                    <w:rPr>
                      <w:i/>
                    </w:rPr>
                    <w:t>a decade, so it is time to reform federal policies to reflect the energy and natural resources challenges of the 21</w:t>
                  </w:r>
                  <w:r w:rsidRPr="0091283F">
                    <w:rPr>
                      <w:i/>
                      <w:vertAlign w:val="superscript"/>
                    </w:rPr>
                    <w:t>st</w:t>
                  </w:r>
                  <w:r>
                    <w:rPr>
                      <w:i/>
                    </w:rPr>
                    <w:t xml:space="preserve"> century</w:t>
                  </w:r>
                  <w:r w:rsidR="00AE5400" w:rsidRPr="006129E6">
                    <w:rPr>
                      <w:i/>
                    </w:rPr>
                    <w:t>.</w:t>
                  </w:r>
                  <w:r w:rsidR="00E72F87" w:rsidRPr="006129E6">
                    <w:rPr>
                      <w:i/>
                    </w:rPr>
                    <w:t>”</w:t>
                  </w:r>
                </w:p>
                <w:p w:rsidR="00343B47" w:rsidRDefault="00343B47" w:rsidP="00B9043B">
                  <w:pPr>
                    <w:pStyle w:val="NormalWeb"/>
                    <w:spacing w:before="0" w:beforeAutospacing="0" w:after="0" w:afterAutospacing="0"/>
                  </w:pPr>
                </w:p>
                <w:p w:rsidR="006534B5" w:rsidRDefault="006534B5" w:rsidP="006534B5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For Senator Heller’s full remarks, </w:t>
                  </w:r>
                  <w:r w:rsidRPr="001564FF">
                    <w:t xml:space="preserve">click </w:t>
                  </w:r>
                  <w:hyperlink r:id="rId12" w:history="1">
                    <w:r w:rsidRPr="00CC51FA">
                      <w:rPr>
                        <w:rStyle w:val="Hyperlink"/>
                      </w:rPr>
                      <w:t>HERE</w:t>
                    </w:r>
                  </w:hyperlink>
                  <w:r>
                    <w:t xml:space="preserve">. </w:t>
                  </w:r>
                </w:p>
                <w:p w:rsidR="006534B5" w:rsidRDefault="006534B5" w:rsidP="00B9043B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</w:p>
                <w:p w:rsidR="00343B47" w:rsidRDefault="00343B47" w:rsidP="00B9043B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895DFF" w:rsidRDefault="00F31A31" w:rsidP="00895DFF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b w:val="0"/>
                    </w:rPr>
                  </w:pPr>
                  <w:r w:rsidRPr="00F31A31">
                    <w:t xml:space="preserve">Senator Heller </w:t>
                  </w:r>
                  <w:r w:rsidR="006F2F76">
                    <w:t>offered</w:t>
                  </w:r>
                  <w:r w:rsidRPr="00F31A31">
                    <w:t xml:space="preserve"> five amendments to </w:t>
                  </w:r>
                  <w:r w:rsidR="006F2F76">
                    <w:t>S. 2012</w:t>
                  </w:r>
                  <w:r w:rsidRPr="00F31A31">
                    <w:t>,</w:t>
                  </w:r>
                  <w:r w:rsidRPr="00F31A31">
                    <w:rPr>
                      <w:rStyle w:val="Strong"/>
                      <w:b w:val="0"/>
                    </w:rPr>
                    <w:t xml:space="preserve"> a bipartisan energy bill focused on addressing national energy opportunities and challenges</w:t>
                  </w:r>
                  <w:r w:rsidR="001100C3">
                    <w:rPr>
                      <w:rStyle w:val="Strong"/>
                      <w:b w:val="0"/>
                    </w:rPr>
                    <w:t>, saving</w:t>
                  </w:r>
                  <w:r w:rsidRPr="00F31A31">
                    <w:rPr>
                      <w:rStyle w:val="Strong"/>
                      <w:b w:val="0"/>
                    </w:rPr>
                    <w:t xml:space="preserve"> </w:t>
                  </w:r>
                  <w:r w:rsidRPr="00895DFF">
                    <w:rPr>
                      <w:rStyle w:val="Strong"/>
                      <w:b w:val="0"/>
                    </w:rPr>
                    <w:t>energy, increas</w:t>
                  </w:r>
                  <w:r w:rsidR="001100C3">
                    <w:rPr>
                      <w:rStyle w:val="Strong"/>
                      <w:b w:val="0"/>
                    </w:rPr>
                    <w:t>ing</w:t>
                  </w:r>
                  <w:r w:rsidRPr="00895DFF">
                    <w:rPr>
                      <w:rStyle w:val="Strong"/>
                      <w:b w:val="0"/>
                    </w:rPr>
                    <w:t xml:space="preserve"> domestic energy </w:t>
                  </w:r>
                  <w:r w:rsidR="001100C3">
                    <w:rPr>
                      <w:rStyle w:val="Strong"/>
                      <w:b w:val="0"/>
                    </w:rPr>
                    <w:t>and mineral supplies, facilitating</w:t>
                  </w:r>
                  <w:r w:rsidRPr="00895DFF">
                    <w:rPr>
                      <w:rStyle w:val="Strong"/>
                      <w:b w:val="0"/>
                    </w:rPr>
                    <w:t xml:space="preserve"> investment into </w:t>
                  </w:r>
                  <w:r w:rsidR="001100C3">
                    <w:rPr>
                      <w:rStyle w:val="Strong"/>
                      <w:b w:val="0"/>
                    </w:rPr>
                    <w:t>critical infrastructure, improving</w:t>
                  </w:r>
                  <w:r w:rsidRPr="00895DFF">
                    <w:rPr>
                      <w:rStyle w:val="Strong"/>
                      <w:b w:val="0"/>
                    </w:rPr>
                    <w:t xml:space="preserve"> grid security, and boost</w:t>
                  </w:r>
                  <w:r w:rsidR="001100C3">
                    <w:rPr>
                      <w:rStyle w:val="Strong"/>
                      <w:b w:val="0"/>
                    </w:rPr>
                    <w:t>ing</w:t>
                  </w:r>
                  <w:r w:rsidRPr="00895DFF">
                    <w:rPr>
                      <w:rStyle w:val="Strong"/>
                      <w:b w:val="0"/>
                    </w:rPr>
                    <w:t xml:space="preserve"> international trade.</w:t>
                  </w:r>
                  <w:r w:rsidR="00895DFF" w:rsidRPr="00895DFF">
                    <w:rPr>
                      <w:rStyle w:val="Strong"/>
                      <w:b w:val="0"/>
                    </w:rPr>
                    <w:t xml:space="preserve"> Below </w:t>
                  </w:r>
                  <w:r w:rsidR="006F2F76">
                    <w:rPr>
                      <w:rStyle w:val="Strong"/>
                      <w:b w:val="0"/>
                    </w:rPr>
                    <w:t xml:space="preserve">is a list of amendments Senator Heller offered. You can click </w:t>
                  </w:r>
                  <w:hyperlink r:id="rId13" w:history="1">
                    <w:r w:rsidR="006F2F76" w:rsidRPr="006F2F76">
                      <w:rPr>
                        <w:rStyle w:val="Hyperlink"/>
                      </w:rPr>
                      <w:t>HERE</w:t>
                    </w:r>
                  </w:hyperlink>
                  <w:r w:rsidR="006F2F76">
                    <w:rPr>
                      <w:rStyle w:val="Strong"/>
                      <w:b w:val="0"/>
                    </w:rPr>
                    <w:t xml:space="preserve"> for background information on each one. </w:t>
                  </w:r>
                  <w:r w:rsidR="00895DFF" w:rsidRPr="00895DFF">
                    <w:rPr>
                      <w:rStyle w:val="Strong"/>
                      <w:b w:val="0"/>
                    </w:rPr>
                    <w:t xml:space="preserve"> </w:t>
                  </w:r>
                </w:p>
                <w:p w:rsidR="00895DFF" w:rsidRPr="00895DFF" w:rsidRDefault="00895DFF" w:rsidP="00895DFF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b w:val="0"/>
                    </w:rPr>
                  </w:pPr>
                </w:p>
                <w:p w:rsidR="00895DFF" w:rsidRPr="00895DFF" w:rsidRDefault="00895DFF" w:rsidP="00895DFF">
                  <w:pPr>
                    <w:pStyle w:val="ListParagraph"/>
                    <w:numPr>
                      <w:ilvl w:val="0"/>
                      <w:numId w:val="13"/>
                    </w:numPr>
                    <w:spacing w:after="240"/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Heller-Heinrich-</w:t>
                  </w:r>
                  <w:proofErr w:type="spellStart"/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>Risch</w:t>
                  </w:r>
                  <w:proofErr w:type="spellEnd"/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>-Tester-Gardner-Wyden-Bennet-</w:t>
                  </w:r>
                  <w:proofErr w:type="spellStart"/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>Daines</w:t>
                  </w:r>
                  <w:proofErr w:type="spellEnd"/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 xml:space="preserve">-Udall Public Lands Renewable Energy Development Amendment </w:t>
                  </w: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>(</w:t>
                  </w:r>
                  <w:hyperlink r:id="rId14" w:history="1">
                    <w:r w:rsidRPr="00E95E2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No. 3</w:t>
                    </w:r>
                    <w:r w:rsidR="00E95E26" w:rsidRPr="00E95E2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212</w:t>
                    </w:r>
                  </w:hyperlink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  <w:p w:rsidR="00895DFF" w:rsidRDefault="00895DFF" w:rsidP="00895DFF">
                  <w:pPr>
                    <w:pStyle w:val="ListParagraph"/>
                    <w:numPr>
                      <w:ilvl w:val="0"/>
                      <w:numId w:val="13"/>
                    </w:numPr>
                    <w:spacing w:after="240"/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>Heller-Reed Energy Storage Amendment</w:t>
                  </w: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hyperlink r:id="rId15" w:history="1">
                    <w:r w:rsidRPr="00E95E2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 xml:space="preserve">No. </w:t>
                    </w:r>
                    <w:r w:rsidR="00E95E26" w:rsidRPr="00E95E2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3231</w:t>
                    </w:r>
                  </w:hyperlink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  <w:p w:rsidR="006F2F76" w:rsidRPr="00BA5BE9" w:rsidRDefault="006F2F76" w:rsidP="006F2F76">
                  <w:pPr>
                    <w:pStyle w:val="ListParagraph"/>
                    <w:numPr>
                      <w:ilvl w:val="0"/>
                      <w:numId w:val="13"/>
                    </w:numPr>
                    <w:spacing w:after="240"/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584C5E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>Reed-Heller Energy</w:t>
                  </w: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 xml:space="preserve"> Storage Amendment</w:t>
                  </w: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hyperlink r:id="rId16" w:history="1">
                    <w:r w:rsidRPr="00895DFF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No. 2989</w:t>
                    </w:r>
                  </w:hyperlink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  <w:r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BA5BE9">
                    <w:rPr>
                      <w:rStyle w:val="Strong"/>
                      <w:rFonts w:ascii="Times New Roman" w:eastAsiaTheme="majorEastAsia" w:hAnsi="Times New Roman"/>
                      <w:bCs w:val="0"/>
                      <w:color w:val="00B050"/>
                      <w:sz w:val="24"/>
                      <w:szCs w:val="24"/>
                      <w:bdr w:val="none" w:sz="0" w:space="0" w:color="auto" w:frame="1"/>
                    </w:rPr>
                    <w:t>PASSED</w:t>
                  </w:r>
                  <w:r w:rsidRPr="00BA5BE9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color w:val="00B05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BA5BE9">
                    <w:rPr>
                      <w:rStyle w:val="Strong"/>
                      <w:rFonts w:ascii="Times New Roman" w:eastAsiaTheme="majorEastAsia" w:hAnsi="Times New Roman"/>
                      <w:bCs w:val="0"/>
                      <w:color w:val="00B050"/>
                      <w:sz w:val="24"/>
                      <w:szCs w:val="24"/>
                      <w:bdr w:val="none" w:sz="0" w:space="0" w:color="auto" w:frame="1"/>
                    </w:rPr>
                    <w:t>the U.S. Senate yesterday, February 2, 2016</w:t>
                  </w:r>
                </w:p>
                <w:p w:rsidR="00895DFF" w:rsidRPr="00895DFF" w:rsidRDefault="00895DFF" w:rsidP="00895DFF">
                  <w:pPr>
                    <w:pStyle w:val="ListParagraph"/>
                    <w:numPr>
                      <w:ilvl w:val="0"/>
                      <w:numId w:val="13"/>
                    </w:numPr>
                    <w:spacing w:after="240"/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>Heller Environmental Protection Agency Accountability Amendment</w:t>
                  </w: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hyperlink r:id="rId17" w:history="1">
                    <w:r w:rsidRPr="00895DFF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No. 2995</w:t>
                    </w:r>
                  </w:hyperlink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  <w:p w:rsidR="00895DFF" w:rsidRDefault="00895DFF" w:rsidP="00895DFF">
                  <w:pPr>
                    <w:pStyle w:val="ListParagraph"/>
                    <w:numPr>
                      <w:ilvl w:val="0"/>
                      <w:numId w:val="13"/>
                    </w:numPr>
                    <w:spacing w:after="240"/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i/>
                      <w:sz w:val="24"/>
                      <w:szCs w:val="24"/>
                      <w:bdr w:val="none" w:sz="0" w:space="0" w:color="auto" w:frame="1"/>
                    </w:rPr>
                    <w:t>Heller Financial Assurance Amendment</w:t>
                  </w:r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hyperlink r:id="rId18" w:history="1">
                    <w:r w:rsidRPr="00895DFF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No. 2994</w:t>
                    </w:r>
                  </w:hyperlink>
                  <w:r w:rsidRPr="00895DFF">
                    <w:rPr>
                      <w:rStyle w:val="Strong"/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  <w:p w:rsidR="00FB6838" w:rsidRDefault="00895DFF" w:rsidP="006F2F76">
                  <w:pPr>
                    <w:pStyle w:val="NormalWeb"/>
                    <w:rPr>
                      <w:rStyle w:val="Strong"/>
                      <w:rFonts w:eastAsiaTheme="majorEastAsia"/>
                      <w:b w:val="0"/>
                      <w:bCs w:val="0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eastAsiaTheme="majorEastAsia"/>
                      <w:b w:val="0"/>
                      <w:bCs w:val="0"/>
                      <w:bdr w:val="none" w:sz="0" w:space="0" w:color="auto" w:frame="1"/>
                    </w:rPr>
                    <w:t>Two of Heller’s provisions</w:t>
                  </w:r>
                  <w:r w:rsidR="006F2F76">
                    <w:rPr>
                      <w:rStyle w:val="Strong"/>
                      <w:rFonts w:eastAsiaTheme="majorEastAsia"/>
                      <w:b w:val="0"/>
                      <w:bCs w:val="0"/>
                      <w:bdr w:val="none" w:sz="0" w:space="0" w:color="auto" w:frame="1"/>
                    </w:rPr>
                    <w:t>,</w:t>
                  </w:r>
                  <w:r>
                    <w:rPr>
                      <w:rStyle w:val="Strong"/>
                      <w:rFonts w:eastAsiaTheme="majorEastAsia"/>
                      <w:b w:val="0"/>
                      <w:bCs w:val="0"/>
                      <w:bdr w:val="none" w:sz="0" w:space="0" w:color="auto" w:frame="1"/>
                    </w:rPr>
                    <w:t xml:space="preserve"> </w:t>
                  </w:r>
                  <w:r w:rsidR="008D3D6E">
                    <w:rPr>
                      <w:rStyle w:val="Strong"/>
                      <w:rFonts w:eastAsiaTheme="majorEastAsia"/>
                      <w:b w:val="0"/>
                      <w:bCs w:val="0"/>
                      <w:bdr w:val="none" w:sz="0" w:space="0" w:color="auto" w:frame="1"/>
                    </w:rPr>
                    <w:t xml:space="preserve">including the </w:t>
                  </w:r>
                  <w:r w:rsidR="008D3D6E" w:rsidRPr="008D3D6E">
                    <w:rPr>
                      <w:rStyle w:val="Strong"/>
                      <w:b w:val="0"/>
                      <w:i/>
                      <w:iCs/>
                    </w:rPr>
                    <w:t>Public Land Job Creation Act</w:t>
                  </w:r>
                  <w:r w:rsidR="008D3D6E" w:rsidRPr="008D3D6E">
                    <w:rPr>
                      <w:rStyle w:val="Strong"/>
                      <w:b w:val="0"/>
                      <w:i/>
                    </w:rPr>
                    <w:t xml:space="preserve"> </w:t>
                  </w:r>
                  <w:r w:rsidR="008D3D6E" w:rsidRPr="008D3D6E">
                    <w:rPr>
                      <w:rStyle w:val="Strong"/>
                      <w:b w:val="0"/>
                    </w:rPr>
                    <w:t>(</w:t>
                  </w:r>
                  <w:hyperlink r:id="rId19" w:history="1">
                    <w:r w:rsidR="008D3D6E" w:rsidRPr="006F2F76">
                      <w:rPr>
                        <w:rStyle w:val="Hyperlink"/>
                      </w:rPr>
                      <w:t>S.113</w:t>
                    </w:r>
                  </w:hyperlink>
                  <w:r w:rsidR="008D3D6E" w:rsidRPr="008D3D6E">
                    <w:rPr>
                      <w:rStyle w:val="Strong"/>
                      <w:b w:val="0"/>
                    </w:rPr>
                    <w:t>)</w:t>
                  </w:r>
                  <w:r w:rsidR="008D3D6E" w:rsidRPr="008D3D6E">
                    <w:rPr>
                      <w:rStyle w:val="Strong"/>
                      <w:b w:val="0"/>
                      <w:i/>
                    </w:rPr>
                    <w:t xml:space="preserve"> </w:t>
                  </w:r>
                  <w:r w:rsidR="008D3D6E">
                    <w:rPr>
                      <w:rStyle w:val="Strong"/>
                      <w:b w:val="0"/>
                    </w:rPr>
                    <w:t xml:space="preserve">and the </w:t>
                  </w:r>
                  <w:r w:rsidR="008D3D6E" w:rsidRPr="008D3D6E">
                    <w:rPr>
                      <w:rStyle w:val="Strong"/>
                      <w:b w:val="0"/>
                      <w:i/>
                      <w:iCs/>
                    </w:rPr>
                    <w:t>Geothermal Exploration Opportunities (GEO) Act</w:t>
                  </w:r>
                  <w:r w:rsidR="008D3D6E" w:rsidRPr="008D3D6E">
                    <w:rPr>
                      <w:b/>
                    </w:rPr>
                    <w:t xml:space="preserve"> </w:t>
                  </w:r>
                  <w:r w:rsidR="008D3D6E" w:rsidRPr="006F2F76">
                    <w:t>(</w:t>
                  </w:r>
                  <w:hyperlink r:id="rId20" w:history="1">
                    <w:r w:rsidR="008D3D6E" w:rsidRPr="006F2F76">
                      <w:rPr>
                        <w:rStyle w:val="Hyperlink"/>
                      </w:rPr>
                      <w:t>S.562</w:t>
                    </w:r>
                  </w:hyperlink>
                  <w:r w:rsidR="008D3D6E" w:rsidRPr="006F2F76">
                    <w:t>)</w:t>
                  </w:r>
                  <w:r w:rsidR="006F2F76" w:rsidRPr="006F2F76">
                    <w:t>,</w:t>
                  </w:r>
                  <w:r w:rsidR="006F2F76">
                    <w:rPr>
                      <w:b/>
                    </w:rPr>
                    <w:t xml:space="preserve"> </w:t>
                  </w:r>
                  <w:r w:rsidR="006F2F76">
                    <w:rPr>
                      <w:rStyle w:val="Strong"/>
                      <w:rFonts w:eastAsiaTheme="majorEastAsia"/>
                      <w:b w:val="0"/>
                      <w:bCs w:val="0"/>
                      <w:bdr w:val="none" w:sz="0" w:space="0" w:color="auto" w:frame="1"/>
                    </w:rPr>
                    <w:t xml:space="preserve">were </w:t>
                  </w:r>
                  <w:hyperlink r:id="rId21" w:history="1">
                    <w:r w:rsidR="006F2F76" w:rsidRPr="006F2F76">
                      <w:rPr>
                        <w:rStyle w:val="Hyperlink"/>
                        <w:rFonts w:eastAsiaTheme="majorEastAsia"/>
                        <w:bdr w:val="none" w:sz="0" w:space="0" w:color="auto" w:frame="1"/>
                      </w:rPr>
                      <w:t>already included</w:t>
                    </w:r>
                  </w:hyperlink>
                  <w:r w:rsidR="006F2F76">
                    <w:rPr>
                      <w:rStyle w:val="Strong"/>
                      <w:rFonts w:eastAsiaTheme="majorEastAsia"/>
                      <w:b w:val="0"/>
                      <w:bCs w:val="0"/>
                      <w:bdr w:val="none" w:sz="0" w:space="0" w:color="auto" w:frame="1"/>
                    </w:rPr>
                    <w:t xml:space="preserve"> in S. 2012. </w:t>
                  </w:r>
                </w:p>
                <w:p w:rsidR="006045AE" w:rsidRPr="006F2F76" w:rsidRDefault="006F2F76" w:rsidP="006045AE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6045AE" w:rsidRDefault="006045AE" w:rsidP="00415058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838" w:rsidRDefault="00FB6838" w:rsidP="0057797F"/>
    <w:p w:rsidR="0091283F" w:rsidRDefault="0091283F" w:rsidP="0057797F"/>
    <w:p w:rsidR="0091283F" w:rsidRDefault="0091283F" w:rsidP="0057797F"/>
    <w:p w:rsidR="00411B37" w:rsidRPr="0033010E" w:rsidRDefault="00411B37" w:rsidP="0057797F">
      <w:bookmarkStart w:id="0" w:name="_GoBack"/>
      <w:bookmarkEnd w:id="0"/>
    </w:p>
    <w:sectPr w:rsidR="00411B37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6293"/>
    <w:multiLevelType w:val="hybridMultilevel"/>
    <w:tmpl w:val="4100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D83"/>
    <w:multiLevelType w:val="hybridMultilevel"/>
    <w:tmpl w:val="8E7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626D3"/>
    <w:multiLevelType w:val="hybridMultilevel"/>
    <w:tmpl w:val="9F5C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436DD"/>
    <w:rsid w:val="000604A0"/>
    <w:rsid w:val="00062FC3"/>
    <w:rsid w:val="000656B9"/>
    <w:rsid w:val="00080F99"/>
    <w:rsid w:val="00097FA6"/>
    <w:rsid w:val="000B713E"/>
    <w:rsid w:val="000C3FE7"/>
    <w:rsid w:val="000D0A2A"/>
    <w:rsid w:val="001100C3"/>
    <w:rsid w:val="00132A77"/>
    <w:rsid w:val="001564FF"/>
    <w:rsid w:val="0016366B"/>
    <w:rsid w:val="00180F52"/>
    <w:rsid w:val="0019308D"/>
    <w:rsid w:val="001932D5"/>
    <w:rsid w:val="00195874"/>
    <w:rsid w:val="001B1AD4"/>
    <w:rsid w:val="001C38B8"/>
    <w:rsid w:val="001F2AF0"/>
    <w:rsid w:val="0021766E"/>
    <w:rsid w:val="00223438"/>
    <w:rsid w:val="00226558"/>
    <w:rsid w:val="00267861"/>
    <w:rsid w:val="002A0548"/>
    <w:rsid w:val="002A0D6A"/>
    <w:rsid w:val="002A6A8E"/>
    <w:rsid w:val="002B01F7"/>
    <w:rsid w:val="002B3923"/>
    <w:rsid w:val="002B4710"/>
    <w:rsid w:val="002B62D0"/>
    <w:rsid w:val="002C6769"/>
    <w:rsid w:val="002E2B8F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43B47"/>
    <w:rsid w:val="0036102F"/>
    <w:rsid w:val="003618AB"/>
    <w:rsid w:val="00365DC2"/>
    <w:rsid w:val="00392D70"/>
    <w:rsid w:val="003A218D"/>
    <w:rsid w:val="003B01CC"/>
    <w:rsid w:val="003B5DDB"/>
    <w:rsid w:val="003B7C0A"/>
    <w:rsid w:val="003C4208"/>
    <w:rsid w:val="003E17B9"/>
    <w:rsid w:val="00411B37"/>
    <w:rsid w:val="00413C3D"/>
    <w:rsid w:val="00415058"/>
    <w:rsid w:val="00427039"/>
    <w:rsid w:val="00432250"/>
    <w:rsid w:val="00446AD2"/>
    <w:rsid w:val="00451312"/>
    <w:rsid w:val="0046147D"/>
    <w:rsid w:val="004854D6"/>
    <w:rsid w:val="004B2C96"/>
    <w:rsid w:val="004C02FB"/>
    <w:rsid w:val="004C7FC9"/>
    <w:rsid w:val="004F62B8"/>
    <w:rsid w:val="00500C93"/>
    <w:rsid w:val="00513013"/>
    <w:rsid w:val="0052507B"/>
    <w:rsid w:val="00535E0E"/>
    <w:rsid w:val="00541CAE"/>
    <w:rsid w:val="00550EAE"/>
    <w:rsid w:val="00563A9F"/>
    <w:rsid w:val="00566AAD"/>
    <w:rsid w:val="00571696"/>
    <w:rsid w:val="0057797F"/>
    <w:rsid w:val="00580E98"/>
    <w:rsid w:val="00584C5E"/>
    <w:rsid w:val="0059313C"/>
    <w:rsid w:val="005C0224"/>
    <w:rsid w:val="005D1DB8"/>
    <w:rsid w:val="0060386E"/>
    <w:rsid w:val="006045AE"/>
    <w:rsid w:val="006129E6"/>
    <w:rsid w:val="006534B5"/>
    <w:rsid w:val="0066285F"/>
    <w:rsid w:val="0066438E"/>
    <w:rsid w:val="00671297"/>
    <w:rsid w:val="006742C7"/>
    <w:rsid w:val="00676AEF"/>
    <w:rsid w:val="006913B9"/>
    <w:rsid w:val="00694245"/>
    <w:rsid w:val="006A576C"/>
    <w:rsid w:val="006B6520"/>
    <w:rsid w:val="006C6BBB"/>
    <w:rsid w:val="006E1284"/>
    <w:rsid w:val="006F223B"/>
    <w:rsid w:val="006F2F76"/>
    <w:rsid w:val="006F6268"/>
    <w:rsid w:val="00702648"/>
    <w:rsid w:val="00703EBC"/>
    <w:rsid w:val="00706F66"/>
    <w:rsid w:val="00710A1F"/>
    <w:rsid w:val="00731484"/>
    <w:rsid w:val="00755C81"/>
    <w:rsid w:val="00762113"/>
    <w:rsid w:val="007637E1"/>
    <w:rsid w:val="00770B14"/>
    <w:rsid w:val="00772075"/>
    <w:rsid w:val="00773FC7"/>
    <w:rsid w:val="00780B54"/>
    <w:rsid w:val="00782BBA"/>
    <w:rsid w:val="00794A73"/>
    <w:rsid w:val="007A36B1"/>
    <w:rsid w:val="007D2688"/>
    <w:rsid w:val="007D5CFA"/>
    <w:rsid w:val="007E2DDD"/>
    <w:rsid w:val="007E3AC3"/>
    <w:rsid w:val="0080185E"/>
    <w:rsid w:val="00803D00"/>
    <w:rsid w:val="0081314C"/>
    <w:rsid w:val="00814F44"/>
    <w:rsid w:val="00827203"/>
    <w:rsid w:val="00830019"/>
    <w:rsid w:val="00835D64"/>
    <w:rsid w:val="00837950"/>
    <w:rsid w:val="00857A76"/>
    <w:rsid w:val="00871988"/>
    <w:rsid w:val="00895DFF"/>
    <w:rsid w:val="008963AF"/>
    <w:rsid w:val="008B2EE2"/>
    <w:rsid w:val="008D3D6E"/>
    <w:rsid w:val="008F2CA9"/>
    <w:rsid w:val="008F4725"/>
    <w:rsid w:val="008F7E41"/>
    <w:rsid w:val="0091283F"/>
    <w:rsid w:val="0091536E"/>
    <w:rsid w:val="009243FF"/>
    <w:rsid w:val="00930B58"/>
    <w:rsid w:val="0096738E"/>
    <w:rsid w:val="00984C20"/>
    <w:rsid w:val="009938F1"/>
    <w:rsid w:val="00994AE6"/>
    <w:rsid w:val="009967C8"/>
    <w:rsid w:val="009A5285"/>
    <w:rsid w:val="009B33AB"/>
    <w:rsid w:val="009E4B1E"/>
    <w:rsid w:val="00A0047F"/>
    <w:rsid w:val="00A01C78"/>
    <w:rsid w:val="00A63954"/>
    <w:rsid w:val="00A643AC"/>
    <w:rsid w:val="00A74C55"/>
    <w:rsid w:val="00A949BA"/>
    <w:rsid w:val="00AB3831"/>
    <w:rsid w:val="00AC687B"/>
    <w:rsid w:val="00AE5400"/>
    <w:rsid w:val="00B15D8F"/>
    <w:rsid w:val="00B30079"/>
    <w:rsid w:val="00B457ED"/>
    <w:rsid w:val="00B5047B"/>
    <w:rsid w:val="00B624D0"/>
    <w:rsid w:val="00B6711B"/>
    <w:rsid w:val="00B75D66"/>
    <w:rsid w:val="00B7693B"/>
    <w:rsid w:val="00B9043B"/>
    <w:rsid w:val="00B91052"/>
    <w:rsid w:val="00BA51D5"/>
    <w:rsid w:val="00BA5BE9"/>
    <w:rsid w:val="00BA783A"/>
    <w:rsid w:val="00BC6DCA"/>
    <w:rsid w:val="00BD0DE2"/>
    <w:rsid w:val="00BF712C"/>
    <w:rsid w:val="00C013B3"/>
    <w:rsid w:val="00C20520"/>
    <w:rsid w:val="00C26677"/>
    <w:rsid w:val="00C31DFD"/>
    <w:rsid w:val="00C3379E"/>
    <w:rsid w:val="00C41872"/>
    <w:rsid w:val="00C42B95"/>
    <w:rsid w:val="00C50AB3"/>
    <w:rsid w:val="00C55484"/>
    <w:rsid w:val="00C571F1"/>
    <w:rsid w:val="00C6094A"/>
    <w:rsid w:val="00C61C9B"/>
    <w:rsid w:val="00C64C41"/>
    <w:rsid w:val="00C6754D"/>
    <w:rsid w:val="00C7488D"/>
    <w:rsid w:val="00C85D61"/>
    <w:rsid w:val="00CB5DD5"/>
    <w:rsid w:val="00CC51FA"/>
    <w:rsid w:val="00CD4730"/>
    <w:rsid w:val="00CD6305"/>
    <w:rsid w:val="00D06DDC"/>
    <w:rsid w:val="00D14576"/>
    <w:rsid w:val="00D27611"/>
    <w:rsid w:val="00D35FA5"/>
    <w:rsid w:val="00D5215B"/>
    <w:rsid w:val="00D52BF7"/>
    <w:rsid w:val="00D605AF"/>
    <w:rsid w:val="00D75FE5"/>
    <w:rsid w:val="00D7700C"/>
    <w:rsid w:val="00DA1AFE"/>
    <w:rsid w:val="00DA530C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66377"/>
    <w:rsid w:val="00E72F87"/>
    <w:rsid w:val="00E95E26"/>
    <w:rsid w:val="00E96E81"/>
    <w:rsid w:val="00ED3C0C"/>
    <w:rsid w:val="00ED47AC"/>
    <w:rsid w:val="00EF6BDD"/>
    <w:rsid w:val="00F05C60"/>
    <w:rsid w:val="00F14F7B"/>
    <w:rsid w:val="00F24DD6"/>
    <w:rsid w:val="00F31A31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443B"/>
    <w:rsid w:val="00FB61C6"/>
    <w:rsid w:val="00FB6838"/>
    <w:rsid w:val="00FC34B5"/>
    <w:rsid w:val="00FC7136"/>
    <w:rsid w:val="00FD6058"/>
    <w:rsid w:val="00FF25B8"/>
    <w:rsid w:val="00FF41D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senate.gov/public/index.cfm?p=legislation&amp;id=87D9E1CF-1B96-4815-9D05-387798EFAEA7" TargetMode="External"/><Relationship Id="rId13" Type="http://schemas.openxmlformats.org/officeDocument/2006/relationships/hyperlink" Target="http://www.heller.senate.gov/public/index.cfm/pressreleases?ID=8eb1c603-aa31-4e57-aa86-c33ad82f0f26" TargetMode="External"/><Relationship Id="rId18" Type="http://schemas.openxmlformats.org/officeDocument/2006/relationships/hyperlink" Target="http://www.heller.senate.gov/public/_cache/files/c8804385-1581-4e35-a67f-c96dde9982a6/Heller%20Financial%20Assurance%20Amendment%202994.pdf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heller.senate.gov/public/index.cfm/pressreleases?ID=8eb1c603-aa31-4e57-aa86-c33ad82f0f26" TargetMode="Externa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index.cfm?p=remarks-as-prepared_1" TargetMode="External"/><Relationship Id="rId17" Type="http://schemas.openxmlformats.org/officeDocument/2006/relationships/hyperlink" Target="http://www.heller.senate.gov/public/_cache/files/afa12f02-73d2-44f7-9aa9-dfd9741aadb9/Heller%20EPA%20Accountability%20Amendment%202995.pdf" TargetMode="External"/><Relationship Id="rId25" Type="http://schemas.openxmlformats.org/officeDocument/2006/relationships/hyperlink" Target="http://twitter.com/SenDeanHell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ler.senate.gov/public/_cache/files/e0d3bf6c-6698-4dce-9797-57c4f45111d1/Reed-Heller%20Energy%20Storage%20R&amp;D%20Amendment%202989.pdf" TargetMode="External"/><Relationship Id="rId20" Type="http://schemas.openxmlformats.org/officeDocument/2006/relationships/hyperlink" Target="http://www.heller.senate.gov/public/_cache/files/9fdfd9fb-e6c4-4ede-bbab-270b65dcb7e2/GEO%20Act%202%2025%2015.pdf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2.png"/><Relationship Id="rId24" Type="http://schemas.openxmlformats.org/officeDocument/2006/relationships/image" Target="cid:image003.png@01D07908.A11AC5D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heller.senate.gov/public/_cache/files/6cad2c4d-5ef0-4c8a-ab9f-e32ea122611c/Heller-Reed%20Battery%20Storage%20Amendment%20%28Updated%29%203231.pdf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youtube.com/user/SenDeanHeller" TargetMode="External"/><Relationship Id="rId10" Type="http://schemas.openxmlformats.org/officeDocument/2006/relationships/hyperlink" Target="https://www.youtube.com/watch?v=UCFU7IQT5vo" TargetMode="External"/><Relationship Id="rId19" Type="http://schemas.openxmlformats.org/officeDocument/2006/relationships/hyperlink" Target="https://www.gpo.gov/fdsys/pkg/BILLS-114s113is/pdf/BILLS-114s113i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ergy.senate.gov/public/index.cfm/files/serve?File_id=56a384df-cffa-44eb-a1f4-540a72ab6b0f" TargetMode="External"/><Relationship Id="rId14" Type="http://schemas.openxmlformats.org/officeDocument/2006/relationships/hyperlink" Target="http://www.heller.senate.gov/public/_cache/files/b05e6f7f-6537-4fbc-9cb4-e2be0a010bc6/Heller-Heinrich-Risch-Tester-Gardner-Bennet-3212%20%28Updated%29.pdf" TargetMode="External"/><Relationship Id="rId22" Type="http://schemas.openxmlformats.org/officeDocument/2006/relationships/hyperlink" Target="http://www.facebook.com/pages/US-Senator-Dean-Heller/325751330177" TargetMode="External"/><Relationship Id="rId27" Type="http://schemas.openxmlformats.org/officeDocument/2006/relationships/image" Target="cid:image004.png@01D07908.A11AC5D0" TargetMode="External"/><Relationship Id="rId30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24</cp:revision>
  <cp:lastPrinted>2016-02-03T21:32:00Z</cp:lastPrinted>
  <dcterms:created xsi:type="dcterms:W3CDTF">2016-02-02T17:57:00Z</dcterms:created>
  <dcterms:modified xsi:type="dcterms:W3CDTF">2016-02-03T21:43:00Z</dcterms:modified>
</cp:coreProperties>
</file>