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="00E0635D">
                      <w:rPr>
                        <w:rStyle w:val="Hyperlink"/>
                      </w:rPr>
                      <w:t>Megan Taylor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1B0FEA" w:rsidP="00003B4A">
                  <w:pPr>
                    <w:rPr>
                      <w:b/>
                    </w:rPr>
                  </w:pPr>
                  <w:r>
                    <w:t>March 23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AE1828" w:rsidRDefault="00AE1828" w:rsidP="00AE1828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>ICYMI: Heller Received Commitment from SEC Nominee to Protect Consumers, Empower Nevada Mining</w:t>
            </w:r>
          </w:p>
          <w:p w:rsidR="00AE1828" w:rsidRDefault="00AE1828" w:rsidP="00AE1828">
            <w:pPr>
              <w:rPr>
                <w:b/>
                <w:bCs/>
              </w:rPr>
            </w:pPr>
          </w:p>
          <w:p w:rsidR="00AE1828" w:rsidRDefault="00AE1828" w:rsidP="00AE1828">
            <w:r>
              <w:rPr>
                <w:b/>
                <w:bCs/>
              </w:rPr>
              <w:t>Washington, D.C.</w:t>
            </w:r>
            <w:r>
              <w:t xml:space="preserve"> – During a Senate Banking, Housing, and Urban Affairs Committee hearing today, </w:t>
            </w:r>
            <w:r>
              <w:rPr>
                <w:shd w:val="clear" w:color="auto" w:fill="FFFFFF"/>
              </w:rPr>
              <w:t xml:space="preserve">U.S. Senator Dean Heller (R-NV) questioned </w:t>
            </w:r>
            <w:r>
              <w:t>Jay Clayton</w:t>
            </w:r>
            <w:r>
              <w:rPr>
                <w:shd w:val="clear" w:color="auto" w:fill="FFFFFF"/>
              </w:rPr>
              <w:t>, a nominee to serve as a member of the Security Exchange Commission (SEC), about how he and the SEC would work with states to regulate the financial services industry, se</w:t>
            </w:r>
            <w:bookmarkStart w:id="0" w:name="_GoBack"/>
            <w:bookmarkEnd w:id="0"/>
            <w:r>
              <w:rPr>
                <w:shd w:val="clear" w:color="auto" w:fill="FFFFFF"/>
              </w:rPr>
              <w:t>cure repayments for those who wer</w:t>
            </w:r>
            <w:r w:rsidR="00E23B7A">
              <w:rPr>
                <w:shd w:val="clear" w:color="auto" w:fill="FFFFFF"/>
              </w:rPr>
              <w:t>e victims of fraud, and protect</w:t>
            </w:r>
            <w:r>
              <w:rPr>
                <w:shd w:val="clear" w:color="auto" w:fill="FFFFFF"/>
              </w:rPr>
              <w:t xml:space="preserve"> consumers. Given the importance of Nevada’s mining economy, Heller also asked Mr. Clayton for his commitment to properly update disclosure requirements. Domestic standards are </w:t>
            </w:r>
            <w:r>
              <w:t xml:space="preserve">out-of-sync with the requirements used in the rest of the world, inhibiting investment in American mining.  Rectifying this problem is important to expanding responsible mining in Nevada, and the good-paying jobs and economic growth that results.  </w:t>
            </w:r>
          </w:p>
          <w:p w:rsidR="00AE1828" w:rsidRDefault="00AE1828" w:rsidP="00AE1828">
            <w:pPr>
              <w:rPr>
                <w:color w:val="1F497D"/>
                <w:sz w:val="22"/>
                <w:szCs w:val="22"/>
                <w:shd w:val="clear" w:color="auto" w:fill="FFFFFF"/>
              </w:rPr>
            </w:pPr>
          </w:p>
          <w:p w:rsidR="00AE1828" w:rsidRDefault="00AE1828" w:rsidP="00AE1828">
            <w:pPr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SENATOR HELLER: “What all I am asking from you is if I can get your commitment? That you will you work with this committee, that you will work with my office as we take a look at some of these new regulations, make the necessary changes that I think are needed to keep our mining industries across this country competitive.”</w:t>
            </w:r>
          </w:p>
          <w:p w:rsidR="00AE1828" w:rsidRDefault="00AE1828" w:rsidP="00AE1828">
            <w:pPr>
              <w:rPr>
                <w:i/>
                <w:iCs/>
                <w:color w:val="1F497D"/>
                <w:shd w:val="clear" w:color="auto" w:fill="FFFFFF"/>
              </w:rPr>
            </w:pPr>
          </w:p>
          <w:p w:rsidR="00AE1828" w:rsidRDefault="00AE1828" w:rsidP="00AE1828">
            <w:pPr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</w:rPr>
              <w:t>CLAYTON</w:t>
            </w:r>
            <w:r>
              <w:rPr>
                <w:i/>
                <w:iCs/>
                <w:shd w:val="clear" w:color="auto" w:fill="FFFFFF"/>
              </w:rPr>
              <w:t>: “Yes Senator, I do look forward to working with this committee, and the staff on disclosure…”</w:t>
            </w:r>
          </w:p>
          <w:p w:rsidR="00AE1828" w:rsidRDefault="00AE1828" w:rsidP="00AE1828">
            <w:pPr>
              <w:rPr>
                <w:color w:val="1F497D"/>
              </w:rPr>
            </w:pPr>
          </w:p>
          <w:p w:rsidR="00AE1828" w:rsidRDefault="00AE1828" w:rsidP="00AE1828">
            <w:pPr>
              <w:rPr>
                <w:color w:val="1F497D"/>
                <w:shd w:val="clear" w:color="auto" w:fill="FFFFFF"/>
              </w:rPr>
            </w:pPr>
            <w:r>
              <w:t xml:space="preserve">Click </w:t>
            </w:r>
            <w:hyperlink r:id="rId7" w:history="1">
              <w:r>
                <w:rPr>
                  <w:rStyle w:val="Hyperlink"/>
                </w:rPr>
                <w:t>HERE</w:t>
              </w:r>
            </w:hyperlink>
            <w:r>
              <w:t xml:space="preserve"> or below to watch</w:t>
            </w:r>
            <w:r>
              <w:rPr>
                <w:color w:val="1F497D"/>
              </w:rPr>
              <w:t xml:space="preserve"> </w:t>
            </w:r>
            <w:r>
              <w:t>the full exchange.</w:t>
            </w:r>
          </w:p>
          <w:p w:rsidR="00367422" w:rsidRDefault="00367422" w:rsidP="00003B4A"/>
          <w:p w:rsidR="00367422" w:rsidRDefault="00367422" w:rsidP="003674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FA0C4" wp14:editId="60D96C41">
                  <wp:extent cx="4184523" cy="2370455"/>
                  <wp:effectExtent l="0" t="0" r="6985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373" cy="237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76" w:rsidRDefault="00F61776" w:rsidP="00F61776">
            <w:pPr>
              <w:jc w:val="center"/>
              <w:rPr>
                <w:color w:val="1F497D"/>
                <w:sz w:val="22"/>
                <w:szCs w:val="22"/>
                <w:shd w:val="clear" w:color="auto" w:fill="FFFFFF"/>
              </w:rPr>
            </w:pPr>
            <w:r>
              <w:t xml:space="preserve">[Click </w:t>
            </w:r>
            <w:hyperlink r:id="rId9" w:history="1">
              <w:r>
                <w:rPr>
                  <w:rStyle w:val="Hyperlink"/>
                </w:rPr>
                <w:t>HERE</w:t>
              </w:r>
            </w:hyperlink>
            <w:r>
              <w:t xml:space="preserve"> or on the above image to watch.]</w:t>
            </w:r>
          </w:p>
          <w:p w:rsidR="00367422" w:rsidRDefault="00367422" w:rsidP="00003B4A"/>
          <w:p w:rsidR="00AE1828" w:rsidRDefault="00AE1828" w:rsidP="00AE182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Background:</w:t>
            </w:r>
          </w:p>
          <w:p w:rsidR="00AE1828" w:rsidRDefault="00AE1828" w:rsidP="00AE1828">
            <w:pPr>
              <w:jc w:val="center"/>
              <w:rPr>
                <w:shd w:val="clear" w:color="auto" w:fill="FFFFFF"/>
              </w:rPr>
            </w:pPr>
          </w:p>
          <w:p w:rsidR="00AE1828" w:rsidRDefault="00AE1828" w:rsidP="00AE182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As Secretary of State, Dean Heller worked to regulate the securities industry and ensure that Nevada consume</w:t>
            </w:r>
            <w:r w:rsidR="0012150A">
              <w:rPr>
                <w:shd w:val="clear" w:color="auto" w:fill="FFFFFF"/>
              </w:rPr>
              <w:t xml:space="preserve">rs were not taken advantage of. </w:t>
            </w:r>
            <w:r>
              <w:rPr>
                <w:shd w:val="clear" w:color="auto" w:fill="FFFFFF"/>
              </w:rPr>
              <w:t>In the U.S. Senate</w:t>
            </w:r>
            <w:r w:rsidRPr="0012150A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Heller has been supportive of </w:t>
            </w:r>
            <w:r>
              <w:rPr>
                <w:shd w:val="clear" w:color="auto" w:fill="FFFFFF"/>
              </w:rPr>
              <w:lastRenderedPageBreak/>
              <w:t>the Nevada mining industry. Aligning the so-called “Industry Guid</w:t>
            </w:r>
            <w:r w:rsidR="0012150A">
              <w:rPr>
                <w:shd w:val="clear" w:color="auto" w:fill="FFFFFF"/>
              </w:rPr>
              <w:t>e 7” regulations, which lay</w:t>
            </w:r>
            <w:r>
              <w:rPr>
                <w:shd w:val="clear" w:color="auto" w:fill="FFFFFF"/>
              </w:rPr>
              <w:t xml:space="preserve"> out specific mineral </w:t>
            </w:r>
            <w:r>
              <w:t>reporting and disclosure</w:t>
            </w:r>
            <w:r>
              <w:rPr>
                <w:shd w:val="clear" w:color="auto" w:fill="FFFFFF"/>
              </w:rPr>
              <w:t xml:space="preserve"> standards for companies that mine in the U.S., will attract additional investment in domestic mineral production. </w:t>
            </w:r>
            <w:hyperlink r:id="rId10" w:history="1">
              <w:r w:rsidRPr="00CE744E">
                <w:rPr>
                  <w:rStyle w:val="Hyperlink"/>
                  <w:shd w:val="clear" w:color="auto" w:fill="FFFFFF"/>
                </w:rPr>
                <w:t>Senator Heller has led efforts</w:t>
              </w:r>
            </w:hyperlink>
            <w:r>
              <w:rPr>
                <w:shd w:val="clear" w:color="auto" w:fill="FFFFFF"/>
              </w:rPr>
              <w:t xml:space="preserve">, supported by Chairman Crapo (R-ID) and Senator Tester (D-MT), urging the SEC to reform and update its rules for nearly three years. </w:t>
            </w:r>
          </w:p>
          <w:p w:rsidR="001A7189" w:rsidRDefault="001A7189" w:rsidP="00367422">
            <w:pPr>
              <w:rPr>
                <w:shd w:val="clear" w:color="auto" w:fill="FFFFFF"/>
              </w:rPr>
            </w:pPr>
          </w:p>
          <w:p w:rsidR="00E250A7" w:rsidRDefault="00D13582" w:rsidP="00003B4A">
            <w:pPr>
              <w:jc w:val="center"/>
            </w:pPr>
            <w:r>
              <w:t>###</w:t>
            </w:r>
          </w:p>
          <w:p w:rsidR="00D13582" w:rsidRDefault="00D13582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E250A7" w:rsidRDefault="00E250A7" w:rsidP="00E250A7"/>
    <w:p w:rsidR="00E250A7" w:rsidRDefault="00E250A7" w:rsidP="00E250A7"/>
    <w:p w:rsidR="00E250A7" w:rsidRPr="0033010E" w:rsidRDefault="00E250A7" w:rsidP="00E250A7"/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014AB"/>
    <w:rsid w:val="0000658C"/>
    <w:rsid w:val="000602D8"/>
    <w:rsid w:val="00071C95"/>
    <w:rsid w:val="000D42EF"/>
    <w:rsid w:val="0012150A"/>
    <w:rsid w:val="00151AB4"/>
    <w:rsid w:val="00153459"/>
    <w:rsid w:val="00173BB5"/>
    <w:rsid w:val="001A7189"/>
    <w:rsid w:val="001B0FEA"/>
    <w:rsid w:val="001C1600"/>
    <w:rsid w:val="00216D31"/>
    <w:rsid w:val="00240457"/>
    <w:rsid w:val="002460E5"/>
    <w:rsid w:val="002572C5"/>
    <w:rsid w:val="00274C90"/>
    <w:rsid w:val="002D4124"/>
    <w:rsid w:val="002E4A2B"/>
    <w:rsid w:val="00337FB3"/>
    <w:rsid w:val="0034694D"/>
    <w:rsid w:val="00367422"/>
    <w:rsid w:val="00371849"/>
    <w:rsid w:val="00377730"/>
    <w:rsid w:val="00387D98"/>
    <w:rsid w:val="003A19AF"/>
    <w:rsid w:val="003C14A4"/>
    <w:rsid w:val="00407EB6"/>
    <w:rsid w:val="00417CF4"/>
    <w:rsid w:val="00447551"/>
    <w:rsid w:val="0048094A"/>
    <w:rsid w:val="004938BD"/>
    <w:rsid w:val="0049687A"/>
    <w:rsid w:val="004B7D05"/>
    <w:rsid w:val="00546E14"/>
    <w:rsid w:val="00597C3C"/>
    <w:rsid w:val="005D5BA2"/>
    <w:rsid w:val="005F0B6B"/>
    <w:rsid w:val="0060357D"/>
    <w:rsid w:val="006158AE"/>
    <w:rsid w:val="006763CC"/>
    <w:rsid w:val="006B329E"/>
    <w:rsid w:val="006C3B28"/>
    <w:rsid w:val="006D0EA7"/>
    <w:rsid w:val="006E08C3"/>
    <w:rsid w:val="00700FD0"/>
    <w:rsid w:val="007E2C70"/>
    <w:rsid w:val="0087777A"/>
    <w:rsid w:val="008C3F14"/>
    <w:rsid w:val="008D6660"/>
    <w:rsid w:val="00992C58"/>
    <w:rsid w:val="00A243BA"/>
    <w:rsid w:val="00A32691"/>
    <w:rsid w:val="00AD3B7B"/>
    <w:rsid w:val="00AE1828"/>
    <w:rsid w:val="00B053B4"/>
    <w:rsid w:val="00B95648"/>
    <w:rsid w:val="00C37BDD"/>
    <w:rsid w:val="00C67208"/>
    <w:rsid w:val="00CE744E"/>
    <w:rsid w:val="00D0631C"/>
    <w:rsid w:val="00D13582"/>
    <w:rsid w:val="00D3352C"/>
    <w:rsid w:val="00D964E0"/>
    <w:rsid w:val="00DC224B"/>
    <w:rsid w:val="00E0635D"/>
    <w:rsid w:val="00E23B7A"/>
    <w:rsid w:val="00E250A7"/>
    <w:rsid w:val="00E73734"/>
    <w:rsid w:val="00EA7F4C"/>
    <w:rsid w:val="00F179BA"/>
    <w:rsid w:val="00F40F72"/>
    <w:rsid w:val="00F61776"/>
    <w:rsid w:val="00F76BA7"/>
    <w:rsid w:val="00F91E2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A7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Dahf59VFas&amp;t=1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heller.senate.gov/public/_cache/files/c5ff3aa8-c24b-4db7-9839-cde646d8578d/08132014%20Heller-Crapo-Tester%20letter%20to%20SEC%20re%20Industry%20Guide%207%20-%20FINAL.pdf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ahf59VFas&amp;t=1s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146</cp:revision>
  <cp:lastPrinted>2017-02-16T17:41:00Z</cp:lastPrinted>
  <dcterms:created xsi:type="dcterms:W3CDTF">2017-02-07T22:31:00Z</dcterms:created>
  <dcterms:modified xsi:type="dcterms:W3CDTF">2017-03-23T22:00:00Z</dcterms:modified>
</cp:coreProperties>
</file>