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FA" w:rsidRDefault="00A116FA"/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236C1" w:rsidTr="008236C1">
        <w:trPr>
          <w:trHeight w:val="11668"/>
        </w:trPr>
        <w:tc>
          <w:tcPr>
            <w:tcW w:w="9600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8236C1" w:rsidRDefault="008236C1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35040" cy="785495"/>
                  <wp:effectExtent l="0" t="0" r="3810" b="0"/>
                  <wp:docPr id="11" name="Picture 11" descr="cid:image001.jpg@01D20924.10ED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D20924.10ED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04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4620"/>
            </w:tblGrid>
            <w:tr w:rsidR="008236C1">
              <w:trPr>
                <w:trHeight w:val="277"/>
              </w:trPr>
              <w:tc>
                <w:tcPr>
                  <w:tcW w:w="4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6C1" w:rsidRDefault="008236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 Immediate Release:</w:t>
                  </w:r>
                </w:p>
              </w:tc>
              <w:tc>
                <w:tcPr>
                  <w:tcW w:w="4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6C1" w:rsidRDefault="008236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Contact: </w:t>
                  </w:r>
                  <w:hyperlink r:id="rId6" w:history="1">
                    <w:r>
                      <w:rPr>
                        <w:rStyle w:val="Hyperlink"/>
                      </w:rPr>
                      <w:t>Neal A. Patel</w:t>
                    </w:r>
                  </w:hyperlink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8236C1">
              <w:trPr>
                <w:trHeight w:val="295"/>
              </w:trPr>
              <w:tc>
                <w:tcPr>
                  <w:tcW w:w="4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6C1" w:rsidRDefault="00C6543C">
                  <w:pPr>
                    <w:rPr>
                      <w:b/>
                      <w:bCs/>
                    </w:rPr>
                  </w:pPr>
                  <w:r>
                    <w:t>September 27</w:t>
                  </w:r>
                  <w:r w:rsidR="008236C1">
                    <w:t>, 2016</w:t>
                  </w:r>
                </w:p>
              </w:tc>
              <w:tc>
                <w:tcPr>
                  <w:tcW w:w="4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6C1" w:rsidRDefault="008236C1">
                  <w:pPr>
                    <w:jc w:val="right"/>
                    <w:rPr>
                      <w:b/>
                      <w:bCs/>
                    </w:rPr>
                  </w:pPr>
                  <w:r>
                    <w:t>202-224-6244</w:t>
                  </w:r>
                </w:p>
              </w:tc>
            </w:tr>
          </w:tbl>
          <w:p w:rsidR="008236C1" w:rsidRDefault="008236C1">
            <w:pPr>
              <w:jc w:val="center"/>
              <w:rPr>
                <w:rFonts w:eastAsiaTheme="minorHAnsi"/>
                <w:b/>
                <w:bCs/>
                <w:sz w:val="32"/>
                <w:szCs w:val="32"/>
              </w:rPr>
            </w:pPr>
          </w:p>
          <w:p w:rsidR="008236C1" w:rsidRDefault="008236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ICYMI: </w:t>
            </w:r>
            <w:r w:rsidR="00C25C2D">
              <w:rPr>
                <w:b/>
                <w:bCs/>
                <w:sz w:val="36"/>
                <w:szCs w:val="36"/>
              </w:rPr>
              <w:t xml:space="preserve">Heller to FTC </w:t>
            </w:r>
            <w:proofErr w:type="spellStart"/>
            <w:r w:rsidR="00C25C2D">
              <w:rPr>
                <w:b/>
                <w:bCs/>
                <w:sz w:val="36"/>
                <w:szCs w:val="36"/>
              </w:rPr>
              <w:t>Commish</w:t>
            </w:r>
            <w:proofErr w:type="spellEnd"/>
            <w:r w:rsidR="00C25C2D">
              <w:rPr>
                <w:b/>
                <w:bCs/>
                <w:sz w:val="36"/>
                <w:szCs w:val="36"/>
              </w:rPr>
              <w:t xml:space="preserve"> on Resort Fee</w:t>
            </w:r>
            <w:r w:rsidR="008704E0">
              <w:rPr>
                <w:b/>
                <w:bCs/>
                <w:sz w:val="36"/>
                <w:szCs w:val="36"/>
              </w:rPr>
              <w:t>s</w:t>
            </w:r>
            <w:r w:rsidR="00C25C2D">
              <w:rPr>
                <w:b/>
                <w:bCs/>
                <w:sz w:val="36"/>
                <w:szCs w:val="36"/>
              </w:rPr>
              <w:t xml:space="preserve">, “You’ve received 8 or 10 complaints…and now you want to enact new regulations.” </w:t>
            </w:r>
          </w:p>
          <w:p w:rsidR="008236C1" w:rsidRDefault="008236C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25C2D" w:rsidRDefault="008236C1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a United States Senate Committee on </w:t>
            </w:r>
            <w:r w:rsidR="00C25C2D">
              <w:rPr>
                <w:shd w:val="clear" w:color="auto" w:fill="FFFFFF"/>
              </w:rPr>
              <w:t xml:space="preserve">Commerce, Science, and Transportation </w:t>
            </w:r>
            <w:r>
              <w:rPr>
                <w:shd w:val="clear" w:color="auto" w:fill="FFFFFF"/>
              </w:rPr>
              <w:t>hearing titled, “</w:t>
            </w:r>
            <w:r w:rsidR="00C25C2D">
              <w:rPr>
                <w:shd w:val="clear" w:color="auto" w:fill="FFFFFF"/>
              </w:rPr>
              <w:t>Oversight of the Federal Trade Commission.</w:t>
            </w:r>
            <w:r>
              <w:rPr>
                <w:shd w:val="clear" w:color="auto" w:fill="FFFFFF"/>
              </w:rPr>
              <w:t xml:space="preserve">” During the hearing, Senator Heller questioned </w:t>
            </w:r>
            <w:r w:rsidR="00C25C2D">
              <w:rPr>
                <w:shd w:val="clear" w:color="auto" w:fill="FFFFFF"/>
              </w:rPr>
              <w:t>FTC Chairwoman Edith Ramirez whether consumers benefited from 2011 FTC commission guidelines surrounding lodging and resort fees.</w:t>
            </w:r>
          </w:p>
          <w:p w:rsidR="00C25C2D" w:rsidRDefault="00C25C2D">
            <w:pPr>
              <w:rPr>
                <w:shd w:val="clear" w:color="auto" w:fill="FFFFFF"/>
              </w:rPr>
            </w:pPr>
          </w:p>
          <w:p w:rsidR="008236C1" w:rsidRDefault="008236C1">
            <w:r>
              <w:t xml:space="preserve">Click </w:t>
            </w:r>
            <w:hyperlink r:id="rId7" w:history="1">
              <w:r w:rsidRPr="008704E0">
                <w:rPr>
                  <w:rStyle w:val="Hyperlink"/>
                </w:rPr>
                <w:t>HERE</w:t>
              </w:r>
            </w:hyperlink>
            <w:r>
              <w:t xml:space="preserve"> or below to watch.</w:t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8236C1">
              <w:trPr>
                <w:trHeight w:val="5000"/>
              </w:trPr>
              <w:tc>
                <w:tcPr>
                  <w:tcW w:w="9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36C1" w:rsidRDefault="008236C1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8236C1" w:rsidRDefault="008704E0" w:rsidP="008704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72700" cy="2562225"/>
                        <wp:effectExtent l="0" t="0" r="0" b="0"/>
                        <wp:docPr id="1" name="Picture 1" descr="cid:image001.png@01D218B7.A992AED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218B7.A992AE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804" cy="2624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829" w:rsidRDefault="00711829" w:rsidP="008704E0">
                  <w:pPr>
                    <w:jc w:val="center"/>
                    <w:rPr>
                      <w:noProof/>
                    </w:rPr>
                  </w:pPr>
                </w:p>
                <w:p w:rsidR="00711829" w:rsidRPr="00711829" w:rsidRDefault="00711829" w:rsidP="00711829">
                  <w:pPr>
                    <w:rPr>
                      <w:b/>
                      <w:noProof/>
                      <w:u w:val="single"/>
                    </w:rPr>
                  </w:pPr>
                  <w:r w:rsidRPr="00711829">
                    <w:rPr>
                      <w:b/>
                      <w:noProof/>
                      <w:u w:val="single"/>
                    </w:rPr>
                    <w:t>BACKGROUND:</w:t>
                  </w:r>
                </w:p>
                <w:p w:rsidR="00711829" w:rsidRDefault="00711829" w:rsidP="00711829">
                  <w:pPr>
                    <w:rPr>
                      <w:noProof/>
                    </w:rPr>
                  </w:pPr>
                </w:p>
                <w:p w:rsidR="00711829" w:rsidRDefault="00711829" w:rsidP="00711829">
                  <w:pPr>
                    <w:rPr>
                      <w:sz w:val="22"/>
                      <w:szCs w:val="22"/>
                    </w:rPr>
                  </w:pPr>
                  <w:r>
                    <w:t>Last year, Las Vegas experienced a record year, surpassing 42 million tourists.  The Las Vegas Convention and Visitors</w:t>
                  </w:r>
                  <w:r>
                    <w:t xml:space="preserve"> Authority has estimated the</w:t>
                  </w:r>
                  <w:r>
                    <w:t xml:space="preserve"> tourism economy generates more than $50 billion annually and supports 366,000 jobs in Clark County alone  — 43 percent of the total number of jobs in Southern Nevada.</w:t>
                  </w:r>
                </w:p>
                <w:p w:rsidR="00711829" w:rsidRPr="008704E0" w:rsidRDefault="00711829" w:rsidP="00711829">
                  <w:pPr>
                    <w:rPr>
                      <w:noProof/>
                    </w:rPr>
                  </w:pPr>
                  <w:bookmarkStart w:id="0" w:name="_GoBack"/>
                  <w:bookmarkEnd w:id="0"/>
                </w:p>
              </w:tc>
            </w:tr>
          </w:tbl>
          <w:p w:rsidR="008236C1" w:rsidRDefault="008236C1">
            <w:pPr>
              <w:jc w:val="center"/>
              <w:rPr>
                <w:rFonts w:eastAsiaTheme="minorHAnsi"/>
              </w:rPr>
            </w:pPr>
            <w:r>
              <w:t>###</w:t>
            </w:r>
          </w:p>
          <w:p w:rsidR="008236C1" w:rsidRDefault="008236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36C1" w:rsidRDefault="008236C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22580" cy="322580"/>
                  <wp:effectExtent l="0" t="0" r="1270" b="1270"/>
                  <wp:docPr id="9" name="Picture 9" descr="cid:image003.png@01D20924.10ED376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20924.10ED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2580" cy="322580"/>
                  <wp:effectExtent l="0" t="0" r="1270" b="1270"/>
                  <wp:docPr id="5" name="Picture 5" descr="cid:image004.png@01D20924.10ED376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20924.10ED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22580" cy="322580"/>
                  <wp:effectExtent l="0" t="0" r="1270" b="1270"/>
                  <wp:docPr id="4" name="Picture 4" descr="cid:image005.png@01D20924.10ED376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png@01D20924.10ED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499" w:rsidRDefault="00E75499"/>
    <w:sectPr w:rsidR="00E7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9"/>
    <w:rsid w:val="000506F0"/>
    <w:rsid w:val="00386244"/>
    <w:rsid w:val="003936FE"/>
    <w:rsid w:val="004C7E16"/>
    <w:rsid w:val="005960D5"/>
    <w:rsid w:val="00711829"/>
    <w:rsid w:val="00807F84"/>
    <w:rsid w:val="008236C1"/>
    <w:rsid w:val="00830AD8"/>
    <w:rsid w:val="008704E0"/>
    <w:rsid w:val="008F27A8"/>
    <w:rsid w:val="00A116FA"/>
    <w:rsid w:val="00C25C2D"/>
    <w:rsid w:val="00C6543C"/>
    <w:rsid w:val="00E440B9"/>
    <w:rsid w:val="00E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C1DEC-E9D8-49BB-A649-EF31C71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E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20924.10ED3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AUAYqNQDME" TargetMode="External"/><Relationship Id="rId12" Type="http://schemas.openxmlformats.org/officeDocument/2006/relationships/image" Target="cid:image003.png@01D20924.10ED376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jpg@01D20924.10ED3760" TargetMode="External"/><Relationship Id="rId15" Type="http://schemas.openxmlformats.org/officeDocument/2006/relationships/image" Target="cid:image004.png@01D20924.10ED376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1.png@01D218B7.A992AE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Patel, Neal (Heller)</cp:lastModifiedBy>
  <cp:revision>5</cp:revision>
  <cp:lastPrinted>2016-09-07T19:46:00Z</cp:lastPrinted>
  <dcterms:created xsi:type="dcterms:W3CDTF">2016-09-27T15:56:00Z</dcterms:created>
  <dcterms:modified xsi:type="dcterms:W3CDTF">2016-09-27T16:11:00Z</dcterms:modified>
</cp:coreProperties>
</file>