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600"/>
      </w:tblGrid>
      <w:tr w:rsidR="0057797F" w:rsidTr="00837950">
        <w:tc>
          <w:tcPr>
            <w:tcW w:w="9600" w:type="dxa"/>
          </w:tcPr>
          <w:p w:rsidR="0057797F" w:rsidRDefault="00E0531D" w:rsidP="00FA6B47">
            <w:pPr>
              <w:jc w:val="center"/>
              <w:rPr>
                <w:rFonts w:ascii="Georgia" w:hAnsi="Georgia"/>
                <w:b/>
              </w:rPr>
            </w:pPr>
            <w:r>
              <w:rPr>
                <w:noProof/>
              </w:rPr>
              <w:drawing>
                <wp:inline distT="0" distB="0" distL="0" distR="0" wp14:anchorId="14C76B78" wp14:editId="41728454">
                  <wp:extent cx="6031832" cy="7905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041094" cy="791732"/>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7797F" w:rsidTr="0066285F">
              <w:tc>
                <w:tcPr>
                  <w:tcW w:w="4672" w:type="dxa"/>
                </w:tcPr>
                <w:p w:rsidR="0057797F" w:rsidRDefault="0066285F" w:rsidP="0057797F">
                  <w:pPr>
                    <w:rPr>
                      <w:b/>
                    </w:rPr>
                  </w:pPr>
                  <w:r w:rsidRPr="0033010E">
                    <w:rPr>
                      <w:b/>
                    </w:rPr>
                    <w:t>For Immediate Relea</w:t>
                  </w:r>
                  <w:r>
                    <w:rPr>
                      <w:b/>
                    </w:rPr>
                    <w:t>s</w:t>
                  </w:r>
                  <w:r w:rsidRPr="0033010E">
                    <w:rPr>
                      <w:b/>
                    </w:rPr>
                    <w:t>e:</w:t>
                  </w:r>
                </w:p>
              </w:tc>
              <w:tc>
                <w:tcPr>
                  <w:tcW w:w="4673" w:type="dxa"/>
                </w:tcPr>
                <w:p w:rsidR="0057797F" w:rsidRDefault="0066285F" w:rsidP="00326464">
                  <w:pPr>
                    <w:jc w:val="right"/>
                    <w:rPr>
                      <w:b/>
                    </w:rPr>
                  </w:pPr>
                  <w:r>
                    <w:rPr>
                      <w:b/>
                    </w:rPr>
                    <w:t xml:space="preserve">Contact: </w:t>
                  </w:r>
                  <w:hyperlink r:id="rId8" w:history="1">
                    <w:r w:rsidRPr="0033010E">
                      <w:rPr>
                        <w:rStyle w:val="Hyperlink"/>
                      </w:rPr>
                      <w:t>Neal A. Patel</w:t>
                    </w:r>
                  </w:hyperlink>
                  <w:r w:rsidR="00326464">
                    <w:rPr>
                      <w:b/>
                    </w:rPr>
                    <w:t xml:space="preserve"> </w:t>
                  </w:r>
                </w:p>
              </w:tc>
            </w:tr>
            <w:tr w:rsidR="0057797F" w:rsidTr="0066285F">
              <w:tc>
                <w:tcPr>
                  <w:tcW w:w="4672" w:type="dxa"/>
                </w:tcPr>
                <w:p w:rsidR="0057797F" w:rsidRDefault="00743F3B" w:rsidP="00582ECC">
                  <w:pPr>
                    <w:rPr>
                      <w:b/>
                    </w:rPr>
                  </w:pPr>
                  <w:r>
                    <w:t>October 1</w:t>
                  </w:r>
                  <w:r w:rsidR="00582ECC">
                    <w:t>2</w:t>
                  </w:r>
                  <w:r w:rsidR="000F0160">
                    <w:t>, 201</w:t>
                  </w:r>
                  <w:r w:rsidR="001B7EFF">
                    <w:t>6</w:t>
                  </w:r>
                </w:p>
              </w:tc>
              <w:tc>
                <w:tcPr>
                  <w:tcW w:w="4673" w:type="dxa"/>
                </w:tcPr>
                <w:p w:rsidR="0057797F" w:rsidRDefault="0066285F" w:rsidP="0066285F">
                  <w:pPr>
                    <w:jc w:val="right"/>
                    <w:rPr>
                      <w:b/>
                    </w:rPr>
                  </w:pPr>
                  <w:r w:rsidRPr="0033010E">
                    <w:t>202-224-6244</w:t>
                  </w:r>
                </w:p>
              </w:tc>
            </w:tr>
          </w:tbl>
          <w:p w:rsidR="006913B9" w:rsidRDefault="006913B9" w:rsidP="00267861">
            <w:pPr>
              <w:jc w:val="center"/>
              <w:rPr>
                <w:b/>
                <w:sz w:val="32"/>
                <w:szCs w:val="20"/>
              </w:rPr>
            </w:pPr>
          </w:p>
          <w:p w:rsidR="00AF754B" w:rsidRPr="00AF754B" w:rsidRDefault="00AF754B" w:rsidP="00AF754B">
            <w:pPr>
              <w:jc w:val="center"/>
              <w:rPr>
                <w:b/>
                <w:bCs/>
                <w:sz w:val="36"/>
                <w:szCs w:val="36"/>
              </w:rPr>
            </w:pPr>
            <w:r w:rsidRPr="00AF754B">
              <w:rPr>
                <w:b/>
                <w:bCs/>
                <w:sz w:val="36"/>
                <w:szCs w:val="36"/>
              </w:rPr>
              <w:t>Heller Urges OMB to Delay Approving of Treasury’s Section 385 Rules</w:t>
            </w:r>
          </w:p>
          <w:p w:rsidR="0045582F" w:rsidRDefault="00AF2CD6" w:rsidP="0045582F">
            <w:pPr>
              <w:pStyle w:val="NormalWeb"/>
            </w:pPr>
            <w:r>
              <w:rPr>
                <w:b/>
                <w:bCs/>
              </w:rPr>
              <w:t xml:space="preserve">(Washington, DC) – </w:t>
            </w:r>
            <w:r w:rsidR="00B337AA" w:rsidRPr="00582ECC">
              <w:t xml:space="preserve">Recently, United States Senator Dean Heller (R-NV) </w:t>
            </w:r>
            <w:r w:rsidR="00B337AA" w:rsidRPr="00582ECC">
              <w:rPr>
                <w:color w:val="313131"/>
              </w:rPr>
              <w:t xml:space="preserve">along with United States Senators Pat </w:t>
            </w:r>
            <w:r w:rsidR="00B337AA" w:rsidRPr="00582ECC">
              <w:t>Roberts (KS), John C</w:t>
            </w:r>
            <w:r w:rsidR="005D3FF8">
              <w:t xml:space="preserve">ornyn (TX), Johnny Isakson (GA), </w:t>
            </w:r>
            <w:r w:rsidR="00B337AA" w:rsidRPr="00582ECC">
              <w:t>Tim Scott (SC)</w:t>
            </w:r>
            <w:r w:rsidR="005D3FF8">
              <w:t xml:space="preserve">, and </w:t>
            </w:r>
            <w:r w:rsidR="005D3FF8">
              <w:rPr>
                <w:color w:val="313131"/>
              </w:rPr>
              <w:t>Mike Crapo (ID)</w:t>
            </w:r>
            <w:r w:rsidR="00B337AA" w:rsidRPr="00582ECC">
              <w:t>, all Republican colleagues from the Senate Finance Committee</w:t>
            </w:r>
            <w:r w:rsidR="00B337AA" w:rsidRPr="00582ECC">
              <w:rPr>
                <w:shd w:val="clear" w:color="auto" w:fill="FFFFFF"/>
              </w:rPr>
              <w:t>,</w:t>
            </w:r>
            <w:r w:rsidR="00B337AA">
              <w:t xml:space="preserve"> </w:t>
            </w:r>
            <w:r w:rsidR="00B337AA" w:rsidRPr="00B337AA">
              <w:t>urged the Office of Management and Budget (OMB) Director Shaun Donovan to delay approving finalized Internal Revenue Code Section 385 rules from the Department of Treasury, given their potential economic impact.</w:t>
            </w:r>
          </w:p>
          <w:p w:rsidR="00300375" w:rsidRDefault="00300375" w:rsidP="00300375">
            <w:pPr>
              <w:spacing w:before="100" w:beforeAutospacing="1" w:after="100" w:afterAutospacing="1"/>
              <w:rPr>
                <w:b/>
                <w:bCs/>
                <w:sz w:val="22"/>
                <w:szCs w:val="22"/>
                <w:u w:val="single"/>
              </w:rPr>
            </w:pPr>
            <w:r>
              <w:t xml:space="preserve">A PDF copy of the letter can be found </w:t>
            </w:r>
            <w:hyperlink r:id="rId9" w:history="1">
              <w:r w:rsidRPr="005D3FF8">
                <w:rPr>
                  <w:rStyle w:val="Hyperlink"/>
                </w:rPr>
                <w:t>here</w:t>
              </w:r>
            </w:hyperlink>
            <w:r w:rsidRPr="00582ECC">
              <w:t>.</w:t>
            </w:r>
            <w:r>
              <w:t xml:space="preserve"> </w:t>
            </w:r>
          </w:p>
          <w:p w:rsidR="00457E10" w:rsidRPr="00457E10" w:rsidRDefault="00457E10" w:rsidP="001F723E">
            <w:pPr>
              <w:rPr>
                <w:b/>
                <w:u w:val="single"/>
                <w:shd w:val="clear" w:color="auto" w:fill="FFFFFF"/>
              </w:rPr>
            </w:pPr>
            <w:r w:rsidRPr="00457E10">
              <w:rPr>
                <w:b/>
                <w:u w:val="single"/>
                <w:shd w:val="clear" w:color="auto" w:fill="FFFFFF"/>
              </w:rPr>
              <w:t>Full text of letter to</w:t>
            </w:r>
            <w:r w:rsidR="00001A55">
              <w:rPr>
                <w:b/>
                <w:u w:val="single"/>
                <w:shd w:val="clear" w:color="auto" w:fill="FFFFFF"/>
              </w:rPr>
              <w:t xml:space="preserve"> </w:t>
            </w:r>
            <w:r w:rsidR="00743F3B">
              <w:rPr>
                <w:b/>
                <w:u w:val="single"/>
                <w:shd w:val="clear" w:color="auto" w:fill="FFFFFF"/>
              </w:rPr>
              <w:t>Director Donovan</w:t>
            </w:r>
            <w:r w:rsidRPr="00457E10">
              <w:rPr>
                <w:b/>
                <w:u w:val="single"/>
                <w:shd w:val="clear" w:color="auto" w:fill="FFFFFF"/>
              </w:rPr>
              <w:t>:</w:t>
            </w:r>
          </w:p>
          <w:p w:rsidR="00F03A67" w:rsidRDefault="00F03A67" w:rsidP="00621D2F"/>
          <w:p w:rsidR="005D3FF8" w:rsidRPr="0006212A" w:rsidRDefault="005D3FF8" w:rsidP="005D3FF8">
            <w:pPr>
              <w:pStyle w:val="default0"/>
              <w:jc w:val="both"/>
              <w:rPr>
                <w:color w:val="auto"/>
              </w:rPr>
            </w:pPr>
            <w:r w:rsidRPr="0006212A">
              <w:rPr>
                <w:color w:val="auto"/>
              </w:rPr>
              <w:t xml:space="preserve">The Honorable Shaun Donovan </w:t>
            </w:r>
          </w:p>
          <w:p w:rsidR="005D3FF8" w:rsidRPr="0006212A" w:rsidRDefault="005D3FF8" w:rsidP="005D3FF8">
            <w:pPr>
              <w:pStyle w:val="default0"/>
              <w:jc w:val="both"/>
              <w:rPr>
                <w:color w:val="auto"/>
              </w:rPr>
            </w:pPr>
            <w:r w:rsidRPr="0006212A">
              <w:rPr>
                <w:color w:val="auto"/>
              </w:rPr>
              <w:t>Director</w:t>
            </w:r>
          </w:p>
          <w:p w:rsidR="005D3FF8" w:rsidRPr="0006212A" w:rsidRDefault="005D3FF8" w:rsidP="005D3FF8">
            <w:pPr>
              <w:pStyle w:val="default0"/>
              <w:jc w:val="both"/>
              <w:rPr>
                <w:color w:val="auto"/>
              </w:rPr>
            </w:pPr>
            <w:r w:rsidRPr="0006212A">
              <w:rPr>
                <w:color w:val="auto"/>
              </w:rPr>
              <w:t>Office of Management and Budget (OMB)</w:t>
            </w:r>
          </w:p>
          <w:p w:rsidR="005D3FF8" w:rsidRPr="0006212A" w:rsidRDefault="005D3FF8" w:rsidP="005D3FF8">
            <w:pPr>
              <w:pStyle w:val="default0"/>
              <w:jc w:val="both"/>
              <w:rPr>
                <w:color w:val="auto"/>
              </w:rPr>
            </w:pPr>
            <w:r w:rsidRPr="0006212A">
              <w:rPr>
                <w:color w:val="auto"/>
              </w:rPr>
              <w:t>725 17</w:t>
            </w:r>
            <w:r w:rsidRPr="0006212A">
              <w:rPr>
                <w:color w:val="auto"/>
                <w:vertAlign w:val="superscript"/>
              </w:rPr>
              <w:t>th</w:t>
            </w:r>
            <w:r w:rsidRPr="0006212A">
              <w:rPr>
                <w:color w:val="auto"/>
              </w:rPr>
              <w:t xml:space="preserve"> Street, N.W.</w:t>
            </w:r>
          </w:p>
          <w:p w:rsidR="005D3FF8" w:rsidRPr="0006212A" w:rsidRDefault="005D3FF8" w:rsidP="005D3FF8">
            <w:pPr>
              <w:pStyle w:val="default0"/>
              <w:jc w:val="both"/>
              <w:rPr>
                <w:color w:val="auto"/>
              </w:rPr>
            </w:pPr>
            <w:r w:rsidRPr="0006212A">
              <w:rPr>
                <w:color w:val="auto"/>
              </w:rPr>
              <w:t>Washington, DC 20503</w:t>
            </w:r>
          </w:p>
          <w:p w:rsidR="005D3FF8" w:rsidRPr="0006212A" w:rsidRDefault="005D3FF8" w:rsidP="005D3FF8">
            <w:pPr>
              <w:jc w:val="both"/>
            </w:pPr>
            <w:r w:rsidRPr="0006212A">
              <w:t> </w:t>
            </w:r>
          </w:p>
          <w:p w:rsidR="005D3FF8" w:rsidRPr="0006212A" w:rsidRDefault="005D3FF8" w:rsidP="005D3FF8">
            <w:pPr>
              <w:jc w:val="both"/>
            </w:pPr>
            <w:r w:rsidRPr="0006212A">
              <w:t>Re: Proposed Regulations under Internal Revenue Code Section 385 (REG-108060-15)</w:t>
            </w:r>
          </w:p>
          <w:p w:rsidR="005D3FF8" w:rsidRPr="0006212A" w:rsidRDefault="005D3FF8" w:rsidP="005D3FF8">
            <w:pPr>
              <w:pStyle w:val="NoSpacing"/>
              <w:jc w:val="both"/>
              <w:rPr>
                <w:szCs w:val="24"/>
              </w:rPr>
            </w:pPr>
            <w:r w:rsidRPr="0006212A">
              <w:rPr>
                <w:szCs w:val="24"/>
              </w:rPr>
              <w:t> </w:t>
            </w:r>
          </w:p>
          <w:p w:rsidR="005D3FF8" w:rsidRPr="0006212A" w:rsidRDefault="005D3FF8" w:rsidP="005D3FF8">
            <w:pPr>
              <w:jc w:val="both"/>
            </w:pPr>
            <w:r w:rsidRPr="0006212A">
              <w:t>Dear Director Donovan:</w:t>
            </w:r>
          </w:p>
          <w:p w:rsidR="005D3FF8" w:rsidRPr="0006212A" w:rsidRDefault="005D3FF8" w:rsidP="005D3FF8">
            <w:pPr>
              <w:pStyle w:val="NoSpacing"/>
              <w:jc w:val="both"/>
              <w:rPr>
                <w:szCs w:val="24"/>
              </w:rPr>
            </w:pPr>
            <w:r w:rsidRPr="0006212A">
              <w:rPr>
                <w:szCs w:val="24"/>
              </w:rPr>
              <w:t> </w:t>
            </w:r>
          </w:p>
          <w:p w:rsidR="005D3FF8" w:rsidRPr="0006212A" w:rsidRDefault="005D3FF8" w:rsidP="005D3FF8">
            <w:pPr>
              <w:pStyle w:val="default0"/>
              <w:jc w:val="both"/>
              <w:rPr>
                <w:color w:val="auto"/>
              </w:rPr>
            </w:pPr>
            <w:r w:rsidRPr="0006212A">
              <w:rPr>
                <w:color w:val="auto"/>
              </w:rPr>
              <w:t xml:space="preserve">It is our understanding that the Treasury Department </w:t>
            </w:r>
            <w:r w:rsidRPr="0006212A">
              <w:rPr>
                <w:color w:val="auto"/>
                <w:lang w:val="ru-RU"/>
              </w:rPr>
              <w:t>submitted</w:t>
            </w:r>
            <w:r w:rsidRPr="0006212A">
              <w:rPr>
                <w:color w:val="auto"/>
              </w:rPr>
              <w:t xml:space="preserve"> final debt-equity regulations under Internal Revenue Code section 385 to </w:t>
            </w:r>
            <w:r w:rsidRPr="0006212A">
              <w:rPr>
                <w:color w:val="auto"/>
                <w:lang w:val="en"/>
              </w:rPr>
              <w:t>the Office of Management and Budget’s Office of Information and Regulatory Affairs (OIRA)</w:t>
            </w:r>
            <w:r w:rsidRPr="0006212A">
              <w:rPr>
                <w:color w:val="auto"/>
                <w:lang w:val="ru-RU"/>
              </w:rPr>
              <w:t xml:space="preserve"> </w:t>
            </w:r>
            <w:r w:rsidRPr="0006212A">
              <w:rPr>
                <w:color w:val="auto"/>
              </w:rPr>
              <w:t xml:space="preserve">for </w:t>
            </w:r>
            <w:r w:rsidRPr="0006212A">
              <w:rPr>
                <w:color w:val="auto"/>
                <w:lang w:val="ru-RU"/>
              </w:rPr>
              <w:t>review on September 30</w:t>
            </w:r>
            <w:r w:rsidRPr="0006212A">
              <w:rPr>
                <w:color w:val="auto"/>
              </w:rPr>
              <w:t xml:space="preserve">, 2016. We are alarmed with the Treasury Department’s plan to “move swiftly to finalize” these complex rules, especially when economic growth remains anemic in the U.S. We urge you to delay approving the section 385 rules until the economic impact of these regulations can be fully assessed.  </w:t>
            </w:r>
          </w:p>
          <w:p w:rsidR="005D3FF8" w:rsidRPr="0006212A" w:rsidRDefault="005D3FF8" w:rsidP="005D3FF8">
            <w:pPr>
              <w:pStyle w:val="default0"/>
              <w:jc w:val="both"/>
              <w:rPr>
                <w:color w:val="auto"/>
              </w:rPr>
            </w:pPr>
          </w:p>
          <w:p w:rsidR="005D3FF8" w:rsidRPr="0006212A" w:rsidRDefault="005D3FF8" w:rsidP="005D3FF8">
            <w:pPr>
              <w:pStyle w:val="default0"/>
              <w:jc w:val="both"/>
              <w:rPr>
                <w:color w:val="auto"/>
              </w:rPr>
            </w:pPr>
            <w:r w:rsidRPr="0006212A">
              <w:rPr>
                <w:color w:val="auto"/>
              </w:rPr>
              <w:t xml:space="preserve">As members of Senate Committee on Finance, we have repeatedly contacted the Treasury Department expressing our deep concerns over the far-reaching impact of the proposed rules under section 385 on job growth, global competitiveness, and capital investment. Since April, we have met with stakeholders, business associations, and small businesses regarding the broad impact these rules would have on jobs and economic growth in our home states, nationally, and abroad.  Despite providing ample time to address our concerns, we have yet to receive a substantial response from the Treasury Department on what significant reforms, if any, this agency will implement to fix the proposed rules. Due to the Treasury Department’s lack of transparency with respect to these proposed regulations, there remains a great deal of doubt whether Treasury will take into account our concerns. </w:t>
            </w:r>
          </w:p>
          <w:p w:rsidR="005D3FF8" w:rsidRPr="0006212A" w:rsidRDefault="005D3FF8" w:rsidP="005D3FF8">
            <w:pPr>
              <w:pStyle w:val="default0"/>
              <w:jc w:val="both"/>
              <w:rPr>
                <w:color w:val="auto"/>
              </w:rPr>
            </w:pPr>
          </w:p>
          <w:p w:rsidR="005D3FF8" w:rsidRPr="0006212A" w:rsidRDefault="005D3FF8" w:rsidP="005D3FF8">
            <w:pPr>
              <w:pStyle w:val="default0"/>
              <w:jc w:val="both"/>
              <w:rPr>
                <w:color w:val="auto"/>
              </w:rPr>
            </w:pPr>
            <w:r w:rsidRPr="0006212A">
              <w:rPr>
                <w:color w:val="auto"/>
              </w:rPr>
              <w:lastRenderedPageBreak/>
              <w:t xml:space="preserve">Additionally, according to some estimates, over ten million intercompany debt-equity transactions would now be subject to documentation requirements, significantly increasing the cost of doing business in the U.S. Per our letter to the Treasury Department on July 1, 2016, as enclosed, we requested an extended comment period along with a thorough review of </w:t>
            </w:r>
            <w:r w:rsidRPr="0006212A">
              <w:rPr>
                <w:color w:val="auto"/>
                <w:u w:val="single"/>
              </w:rPr>
              <w:t>all</w:t>
            </w:r>
            <w:r w:rsidRPr="0006212A">
              <w:rPr>
                <w:color w:val="auto"/>
              </w:rPr>
              <w:t xml:space="preserve"> stakeholders’ comments and concerns. Considering the thousands of pages that have been submitted, we remain concerned whether a thorough vetting has taken place in such a short period of time. </w:t>
            </w:r>
          </w:p>
          <w:p w:rsidR="005D3FF8" w:rsidRPr="0006212A" w:rsidRDefault="005D3FF8" w:rsidP="005D3FF8">
            <w:pPr>
              <w:pStyle w:val="default0"/>
              <w:jc w:val="both"/>
              <w:rPr>
                <w:color w:val="auto"/>
              </w:rPr>
            </w:pPr>
          </w:p>
          <w:p w:rsidR="005D3FF8" w:rsidRPr="0006212A" w:rsidRDefault="005D3FF8" w:rsidP="005D3FF8">
            <w:pPr>
              <w:pStyle w:val="default0"/>
              <w:jc w:val="both"/>
              <w:rPr>
                <w:color w:val="auto"/>
              </w:rPr>
            </w:pPr>
            <w:r w:rsidRPr="0006212A">
              <w:rPr>
                <w:color w:val="auto"/>
              </w:rPr>
              <w:t>Further, under Executive Order 12866, the proposed regulations</w:t>
            </w:r>
            <w:r w:rsidRPr="0006212A">
              <w:rPr>
                <w:color w:val="auto"/>
                <w:lang w:val="ru-RU"/>
              </w:rPr>
              <w:t xml:space="preserve"> </w:t>
            </w:r>
            <w:r w:rsidRPr="0006212A">
              <w:rPr>
                <w:color w:val="auto"/>
              </w:rPr>
              <w:t xml:space="preserve">were deemed recently to be </w:t>
            </w:r>
            <w:r w:rsidRPr="0006212A">
              <w:rPr>
                <w:color w:val="auto"/>
                <w:lang w:val="ru-RU"/>
              </w:rPr>
              <w:t>economically significant</w:t>
            </w:r>
            <w:r w:rsidRPr="0006212A">
              <w:rPr>
                <w:color w:val="auto"/>
              </w:rPr>
              <w:t>,</w:t>
            </w:r>
            <w:r w:rsidRPr="0006212A">
              <w:rPr>
                <w:color w:val="auto"/>
                <w:lang w:val="ru-RU"/>
              </w:rPr>
              <w:t xml:space="preserve"> </w:t>
            </w:r>
            <w:r w:rsidRPr="0006212A">
              <w:rPr>
                <w:color w:val="auto"/>
              </w:rPr>
              <w:t>meaning they would have an</w:t>
            </w:r>
            <w:r w:rsidRPr="0006212A">
              <w:rPr>
                <w:color w:val="auto"/>
                <w:lang w:val="ru-RU"/>
              </w:rPr>
              <w:t xml:space="preserve"> annual effect of $100 million or more on the economy.</w:t>
            </w:r>
            <w:r w:rsidRPr="0006212A">
              <w:rPr>
                <w:color w:val="auto"/>
              </w:rPr>
              <w:t xml:space="preserve"> OMB previously estimated the proposed regulations would impose a cost of almost $1 billion annually. After extensive conversations with small businesses, multinational companies, and foreign businesses that support numerous jobs across the nation, we believe this number is grossly understated.  Additionally, we believe these proposed rules are already creating obstacles to job creation, impeding economic growth and increasing the cost of doing business, given the retroactive nature of these proposed rules. </w:t>
            </w:r>
          </w:p>
          <w:p w:rsidR="005D3FF8" w:rsidRPr="0006212A" w:rsidRDefault="005D3FF8" w:rsidP="005D3FF8">
            <w:pPr>
              <w:pStyle w:val="default0"/>
              <w:jc w:val="both"/>
              <w:rPr>
                <w:color w:val="auto"/>
              </w:rPr>
            </w:pPr>
          </w:p>
          <w:p w:rsidR="005D3FF8" w:rsidRPr="0006212A" w:rsidRDefault="005D3FF8" w:rsidP="005D3FF8">
            <w:pPr>
              <w:pStyle w:val="default0"/>
              <w:jc w:val="both"/>
              <w:rPr>
                <w:color w:val="auto"/>
              </w:rPr>
            </w:pPr>
            <w:r w:rsidRPr="0006212A">
              <w:rPr>
                <w:color w:val="auto"/>
              </w:rPr>
              <w:t xml:space="preserve">Should your agency decide to approve the section 385 rules, we urge your agency, at a minimum, to exempt cash pooling transactions, foreign-to-foreign transactions and domestic-to-domestic transactions. Additionally, we urge you to exempt industries that are subject to regulatory review. We also urge you to consider the increased cost of compliance to millions of small businesses, both nationally and internationally, who have intercompany loans and cannot meet the burdensome documentation requirements. We also detailed these concerns in the July 1, 2016, letter to the Treasury. </w:t>
            </w:r>
          </w:p>
          <w:p w:rsidR="005D3FF8" w:rsidRPr="0006212A" w:rsidRDefault="005D3FF8" w:rsidP="005D3FF8">
            <w:pPr>
              <w:pStyle w:val="default0"/>
              <w:jc w:val="both"/>
              <w:rPr>
                <w:color w:val="auto"/>
              </w:rPr>
            </w:pPr>
          </w:p>
          <w:p w:rsidR="005D3FF8" w:rsidRPr="0006212A" w:rsidRDefault="005D3FF8" w:rsidP="005D3FF8">
            <w:pPr>
              <w:pStyle w:val="default0"/>
              <w:jc w:val="both"/>
              <w:rPr>
                <w:b/>
                <w:bCs/>
                <w:color w:val="auto"/>
              </w:rPr>
            </w:pPr>
            <w:r w:rsidRPr="0006212A">
              <w:rPr>
                <w:color w:val="auto"/>
              </w:rPr>
              <w:t xml:space="preserve">Thank you for your attention to this matter. We </w:t>
            </w:r>
            <w:r w:rsidRPr="0006212A">
              <w:rPr>
                <w:color w:val="auto"/>
                <w:shd w:val="clear" w:color="auto" w:fill="FFFFFF"/>
              </w:rPr>
              <w:t>respectfully request a response to our concerns</w:t>
            </w:r>
            <w:r w:rsidRPr="0006212A">
              <w:rPr>
                <w:b/>
                <w:bCs/>
                <w:color w:val="auto"/>
                <w:shd w:val="clear" w:color="auto" w:fill="FFFFFF"/>
              </w:rPr>
              <w:t xml:space="preserve">, before you approve the rules or by October 25, 2016.  </w:t>
            </w:r>
          </w:p>
          <w:p w:rsidR="005D3FF8" w:rsidRPr="0006212A" w:rsidRDefault="005D3FF8" w:rsidP="005D3FF8">
            <w:pPr>
              <w:pStyle w:val="NoSpacing"/>
              <w:jc w:val="both"/>
              <w:rPr>
                <w:szCs w:val="24"/>
              </w:rPr>
            </w:pPr>
            <w:r w:rsidRPr="0006212A">
              <w:rPr>
                <w:szCs w:val="24"/>
              </w:rPr>
              <w:t> </w:t>
            </w:r>
          </w:p>
          <w:p w:rsidR="005D3FF8" w:rsidRPr="0006212A" w:rsidRDefault="005D3FF8" w:rsidP="005D3FF8">
            <w:pPr>
              <w:pStyle w:val="NoSpacing"/>
              <w:jc w:val="both"/>
              <w:rPr>
                <w:szCs w:val="24"/>
              </w:rPr>
            </w:pPr>
            <w:r w:rsidRPr="0006212A">
              <w:rPr>
                <w:szCs w:val="24"/>
              </w:rPr>
              <w:t> </w:t>
            </w:r>
          </w:p>
          <w:p w:rsidR="005D3FF8" w:rsidRPr="0006212A" w:rsidRDefault="005D3FF8" w:rsidP="005D3FF8">
            <w:pPr>
              <w:pStyle w:val="NoSpacing"/>
              <w:rPr>
                <w:szCs w:val="24"/>
              </w:rPr>
            </w:pPr>
            <w:r w:rsidRPr="0006212A">
              <w:rPr>
                <w:szCs w:val="24"/>
              </w:rPr>
              <w:t>Sincerely,</w:t>
            </w:r>
          </w:p>
          <w:p w:rsidR="005D3FF8" w:rsidRPr="0006212A" w:rsidRDefault="005D3FF8" w:rsidP="005D3FF8">
            <w:pPr>
              <w:pStyle w:val="NoSpacing"/>
              <w:jc w:val="both"/>
              <w:rPr>
                <w:szCs w:val="24"/>
              </w:rPr>
            </w:pPr>
          </w:p>
          <w:p w:rsidR="005D3FF8" w:rsidRPr="0006212A" w:rsidRDefault="005D3FF8" w:rsidP="005D3FF8">
            <w:pPr>
              <w:pStyle w:val="NoSpacing"/>
              <w:jc w:val="both"/>
              <w:rPr>
                <w:szCs w:val="24"/>
              </w:rPr>
            </w:pPr>
          </w:p>
          <w:p w:rsidR="005D3FF8" w:rsidRPr="0006212A" w:rsidRDefault="005D3FF8" w:rsidP="005D3FF8">
            <w:pPr>
              <w:pStyle w:val="NoSpacing"/>
              <w:jc w:val="both"/>
              <w:rPr>
                <w:szCs w:val="24"/>
              </w:rPr>
            </w:pPr>
          </w:p>
          <w:p w:rsidR="005D3FF8" w:rsidRDefault="005D3FF8" w:rsidP="005D3FF8">
            <w:pPr>
              <w:pStyle w:val="NoSpacing"/>
              <w:jc w:val="both"/>
              <w:rPr>
                <w:szCs w:val="24"/>
              </w:rPr>
            </w:pPr>
            <w:r w:rsidRPr="0006212A">
              <w:rPr>
                <w:szCs w:val="24"/>
              </w:rPr>
              <w:t>Dean Heller</w:t>
            </w:r>
            <w:r w:rsidRPr="0006212A">
              <w:rPr>
                <w:szCs w:val="24"/>
              </w:rPr>
              <w:tab/>
            </w:r>
            <w:r w:rsidRPr="0006212A">
              <w:rPr>
                <w:szCs w:val="24"/>
              </w:rPr>
              <w:tab/>
            </w:r>
            <w:r w:rsidRPr="0006212A">
              <w:rPr>
                <w:szCs w:val="24"/>
              </w:rPr>
              <w:tab/>
            </w:r>
            <w:r w:rsidRPr="0006212A">
              <w:rPr>
                <w:szCs w:val="24"/>
              </w:rPr>
              <w:tab/>
            </w:r>
            <w:r w:rsidRPr="0006212A">
              <w:rPr>
                <w:szCs w:val="24"/>
              </w:rPr>
              <w:tab/>
            </w:r>
            <w:r w:rsidRPr="0006212A">
              <w:rPr>
                <w:szCs w:val="24"/>
              </w:rPr>
              <w:tab/>
            </w:r>
            <w:r w:rsidRPr="0006212A">
              <w:rPr>
                <w:szCs w:val="24"/>
              </w:rPr>
              <w:tab/>
            </w:r>
          </w:p>
          <w:p w:rsidR="005D3FF8" w:rsidRDefault="005D3FF8" w:rsidP="005D3FF8">
            <w:pPr>
              <w:pStyle w:val="NoSpacing"/>
              <w:jc w:val="both"/>
              <w:rPr>
                <w:szCs w:val="24"/>
              </w:rPr>
            </w:pPr>
            <w:r w:rsidRPr="0006212A">
              <w:rPr>
                <w:szCs w:val="24"/>
              </w:rPr>
              <w:t>U.S. Senator</w:t>
            </w:r>
          </w:p>
          <w:p w:rsidR="005D3FF8" w:rsidRDefault="005D3FF8" w:rsidP="005D3FF8">
            <w:pPr>
              <w:pStyle w:val="NoSpacing"/>
              <w:jc w:val="both"/>
              <w:rPr>
                <w:szCs w:val="24"/>
              </w:rPr>
            </w:pPr>
          </w:p>
          <w:p w:rsidR="005D3FF8" w:rsidRDefault="005D3FF8" w:rsidP="005D3FF8">
            <w:pPr>
              <w:pStyle w:val="NoSpacing"/>
              <w:jc w:val="both"/>
              <w:rPr>
                <w:szCs w:val="24"/>
              </w:rPr>
            </w:pPr>
          </w:p>
          <w:p w:rsidR="005D3FF8" w:rsidRPr="0006212A" w:rsidRDefault="005D3FF8" w:rsidP="005D3FF8">
            <w:pPr>
              <w:pStyle w:val="NoSpacing"/>
              <w:jc w:val="both"/>
              <w:rPr>
                <w:szCs w:val="24"/>
              </w:rPr>
            </w:pPr>
            <w:r w:rsidRPr="0006212A">
              <w:rPr>
                <w:szCs w:val="24"/>
              </w:rPr>
              <w:t>Pat Roberts</w:t>
            </w:r>
          </w:p>
          <w:p w:rsidR="005D3FF8" w:rsidRPr="0006212A" w:rsidRDefault="005D3FF8" w:rsidP="005D3FF8">
            <w:pPr>
              <w:pStyle w:val="NoSpacing"/>
              <w:jc w:val="both"/>
              <w:rPr>
                <w:szCs w:val="24"/>
              </w:rPr>
            </w:pPr>
            <w:r w:rsidRPr="0006212A">
              <w:rPr>
                <w:szCs w:val="24"/>
              </w:rPr>
              <w:t>U.S. Senator</w:t>
            </w:r>
            <w:r w:rsidRPr="0006212A">
              <w:rPr>
                <w:szCs w:val="24"/>
              </w:rPr>
              <w:tab/>
            </w:r>
            <w:r w:rsidRPr="0006212A">
              <w:rPr>
                <w:szCs w:val="24"/>
              </w:rPr>
              <w:tab/>
            </w:r>
            <w:r w:rsidRPr="0006212A">
              <w:rPr>
                <w:szCs w:val="24"/>
              </w:rPr>
              <w:tab/>
            </w:r>
            <w:r w:rsidRPr="0006212A">
              <w:rPr>
                <w:szCs w:val="24"/>
              </w:rPr>
              <w:tab/>
            </w:r>
            <w:r w:rsidRPr="0006212A">
              <w:rPr>
                <w:szCs w:val="24"/>
              </w:rPr>
              <w:tab/>
            </w:r>
            <w:r w:rsidRPr="0006212A">
              <w:rPr>
                <w:szCs w:val="24"/>
              </w:rPr>
              <w:tab/>
            </w:r>
            <w:r w:rsidRPr="0006212A">
              <w:rPr>
                <w:szCs w:val="24"/>
              </w:rPr>
              <w:tab/>
            </w:r>
            <w:bookmarkStart w:id="0" w:name="_GoBack"/>
            <w:bookmarkEnd w:id="0"/>
          </w:p>
          <w:p w:rsidR="005D3FF8" w:rsidRDefault="005D3FF8" w:rsidP="005D3FF8">
            <w:pPr>
              <w:pStyle w:val="NoSpacing"/>
              <w:jc w:val="both"/>
              <w:rPr>
                <w:szCs w:val="24"/>
              </w:rPr>
            </w:pPr>
          </w:p>
          <w:p w:rsidR="005D3FF8" w:rsidRPr="0006212A" w:rsidRDefault="005D3FF8" w:rsidP="005D3FF8">
            <w:pPr>
              <w:pStyle w:val="NoSpacing"/>
              <w:jc w:val="both"/>
              <w:rPr>
                <w:szCs w:val="24"/>
              </w:rPr>
            </w:pPr>
          </w:p>
          <w:p w:rsidR="005D3FF8" w:rsidRDefault="005D3FF8" w:rsidP="005D3FF8">
            <w:pPr>
              <w:pStyle w:val="NoSpacing"/>
              <w:jc w:val="both"/>
              <w:rPr>
                <w:szCs w:val="24"/>
              </w:rPr>
            </w:pPr>
            <w:r>
              <w:rPr>
                <w:szCs w:val="24"/>
              </w:rPr>
              <w:t>J</w:t>
            </w:r>
            <w:r w:rsidRPr="0006212A">
              <w:rPr>
                <w:szCs w:val="24"/>
              </w:rPr>
              <w:t>ohn Cornyn</w:t>
            </w:r>
            <w:r w:rsidRPr="0006212A">
              <w:rPr>
                <w:szCs w:val="24"/>
              </w:rPr>
              <w:tab/>
            </w:r>
            <w:r w:rsidRPr="0006212A">
              <w:rPr>
                <w:szCs w:val="24"/>
              </w:rPr>
              <w:tab/>
            </w:r>
            <w:r w:rsidRPr="0006212A">
              <w:rPr>
                <w:szCs w:val="24"/>
              </w:rPr>
              <w:tab/>
            </w:r>
            <w:r w:rsidRPr="0006212A">
              <w:rPr>
                <w:szCs w:val="24"/>
              </w:rPr>
              <w:tab/>
            </w:r>
            <w:r w:rsidRPr="0006212A">
              <w:rPr>
                <w:szCs w:val="24"/>
              </w:rPr>
              <w:tab/>
            </w:r>
            <w:r w:rsidRPr="0006212A">
              <w:rPr>
                <w:szCs w:val="24"/>
              </w:rPr>
              <w:tab/>
            </w:r>
            <w:r w:rsidRPr="0006212A">
              <w:rPr>
                <w:szCs w:val="24"/>
              </w:rPr>
              <w:tab/>
            </w:r>
          </w:p>
          <w:p w:rsidR="005D3FF8" w:rsidRDefault="005D3FF8" w:rsidP="005D3FF8">
            <w:pPr>
              <w:pStyle w:val="NoSpacing"/>
              <w:jc w:val="both"/>
              <w:rPr>
                <w:szCs w:val="24"/>
              </w:rPr>
            </w:pPr>
            <w:r w:rsidRPr="0006212A">
              <w:rPr>
                <w:szCs w:val="24"/>
              </w:rPr>
              <w:t>U.S. Senator</w:t>
            </w:r>
          </w:p>
          <w:p w:rsidR="00B66FA8" w:rsidRDefault="00B66FA8" w:rsidP="005D3FF8">
            <w:pPr>
              <w:pStyle w:val="NoSpacing"/>
              <w:jc w:val="both"/>
              <w:rPr>
                <w:szCs w:val="24"/>
              </w:rPr>
            </w:pPr>
          </w:p>
          <w:p w:rsidR="005D3FF8" w:rsidRDefault="005D3FF8" w:rsidP="005D3FF8">
            <w:pPr>
              <w:pStyle w:val="NoSpacing"/>
              <w:jc w:val="both"/>
              <w:rPr>
                <w:szCs w:val="24"/>
              </w:rPr>
            </w:pPr>
          </w:p>
          <w:p w:rsidR="005D3FF8" w:rsidRPr="0006212A" w:rsidRDefault="005D3FF8" w:rsidP="005D3FF8">
            <w:pPr>
              <w:pStyle w:val="NoSpacing"/>
              <w:jc w:val="both"/>
              <w:rPr>
                <w:szCs w:val="24"/>
              </w:rPr>
            </w:pPr>
            <w:r w:rsidRPr="0006212A">
              <w:rPr>
                <w:szCs w:val="24"/>
              </w:rPr>
              <w:t>Johnny Isakson</w:t>
            </w:r>
          </w:p>
          <w:p w:rsidR="005D3FF8" w:rsidRDefault="005D3FF8" w:rsidP="005D3FF8">
            <w:pPr>
              <w:pStyle w:val="NoSpacing"/>
              <w:jc w:val="both"/>
              <w:rPr>
                <w:szCs w:val="24"/>
              </w:rPr>
            </w:pPr>
            <w:r>
              <w:rPr>
                <w:szCs w:val="24"/>
              </w:rPr>
              <w:t xml:space="preserve">U.S. Senator </w:t>
            </w:r>
            <w:r>
              <w:rPr>
                <w:szCs w:val="24"/>
              </w:rPr>
              <w:tab/>
            </w:r>
            <w:r>
              <w:rPr>
                <w:szCs w:val="24"/>
              </w:rPr>
              <w:tab/>
            </w:r>
            <w:r>
              <w:rPr>
                <w:szCs w:val="24"/>
              </w:rPr>
              <w:tab/>
            </w:r>
            <w:r>
              <w:rPr>
                <w:szCs w:val="24"/>
              </w:rPr>
              <w:tab/>
            </w:r>
            <w:r>
              <w:rPr>
                <w:szCs w:val="24"/>
              </w:rPr>
              <w:tab/>
            </w:r>
            <w:r>
              <w:rPr>
                <w:szCs w:val="24"/>
              </w:rPr>
              <w:tab/>
            </w:r>
            <w:r>
              <w:rPr>
                <w:szCs w:val="24"/>
              </w:rPr>
              <w:tab/>
            </w:r>
          </w:p>
          <w:p w:rsidR="005D3FF8" w:rsidRDefault="005D3FF8" w:rsidP="005D3FF8">
            <w:pPr>
              <w:pStyle w:val="NoSpacing"/>
              <w:jc w:val="both"/>
              <w:rPr>
                <w:szCs w:val="24"/>
              </w:rPr>
            </w:pPr>
          </w:p>
          <w:p w:rsidR="005D3FF8" w:rsidRPr="0006212A" w:rsidRDefault="005D3FF8" w:rsidP="005D3FF8">
            <w:pPr>
              <w:pStyle w:val="NoSpacing"/>
              <w:jc w:val="both"/>
              <w:rPr>
                <w:szCs w:val="24"/>
              </w:rPr>
            </w:pPr>
          </w:p>
          <w:p w:rsidR="005D3FF8" w:rsidRDefault="005D3FF8" w:rsidP="005D3FF8">
            <w:pPr>
              <w:pStyle w:val="NoSpacing"/>
              <w:jc w:val="both"/>
              <w:rPr>
                <w:szCs w:val="24"/>
              </w:rPr>
            </w:pPr>
            <w:r w:rsidRPr="0006212A">
              <w:rPr>
                <w:szCs w:val="24"/>
              </w:rPr>
              <w:t>Tim Scott</w:t>
            </w:r>
            <w:r w:rsidRPr="0006212A">
              <w:rPr>
                <w:szCs w:val="24"/>
              </w:rPr>
              <w:tab/>
            </w:r>
            <w:r w:rsidRPr="0006212A">
              <w:rPr>
                <w:szCs w:val="24"/>
              </w:rPr>
              <w:tab/>
            </w:r>
            <w:r w:rsidRPr="0006212A">
              <w:rPr>
                <w:szCs w:val="24"/>
              </w:rPr>
              <w:tab/>
            </w:r>
            <w:r w:rsidRPr="0006212A">
              <w:rPr>
                <w:szCs w:val="24"/>
              </w:rPr>
              <w:tab/>
            </w:r>
            <w:r w:rsidRPr="0006212A">
              <w:rPr>
                <w:szCs w:val="24"/>
              </w:rPr>
              <w:tab/>
            </w:r>
            <w:r w:rsidRPr="0006212A">
              <w:rPr>
                <w:szCs w:val="24"/>
              </w:rPr>
              <w:tab/>
            </w:r>
            <w:r w:rsidRPr="0006212A">
              <w:rPr>
                <w:szCs w:val="24"/>
              </w:rPr>
              <w:tab/>
            </w:r>
          </w:p>
          <w:p w:rsidR="005D3FF8" w:rsidRDefault="005D3FF8" w:rsidP="005D3FF8">
            <w:pPr>
              <w:pStyle w:val="NoSpacing"/>
              <w:jc w:val="both"/>
              <w:rPr>
                <w:szCs w:val="24"/>
              </w:rPr>
            </w:pPr>
            <w:r w:rsidRPr="0006212A">
              <w:rPr>
                <w:szCs w:val="24"/>
              </w:rPr>
              <w:t>U.S. Senator</w:t>
            </w:r>
            <w:r w:rsidRPr="0006212A">
              <w:rPr>
                <w:szCs w:val="24"/>
              </w:rPr>
              <w:tab/>
            </w:r>
            <w:r w:rsidRPr="0006212A">
              <w:rPr>
                <w:szCs w:val="24"/>
              </w:rPr>
              <w:tab/>
            </w:r>
          </w:p>
          <w:p w:rsidR="005D3FF8" w:rsidRDefault="005D3FF8" w:rsidP="005D3FF8">
            <w:pPr>
              <w:pStyle w:val="NoSpacing"/>
              <w:jc w:val="both"/>
              <w:rPr>
                <w:szCs w:val="24"/>
              </w:rPr>
            </w:pPr>
          </w:p>
          <w:p w:rsidR="005D3FF8" w:rsidRPr="0006212A" w:rsidRDefault="005D3FF8" w:rsidP="005D3FF8">
            <w:pPr>
              <w:pStyle w:val="NoSpacing"/>
              <w:jc w:val="both"/>
              <w:rPr>
                <w:szCs w:val="24"/>
              </w:rPr>
            </w:pPr>
            <w:r>
              <w:rPr>
                <w:szCs w:val="24"/>
              </w:rPr>
              <w:lastRenderedPageBreak/>
              <w:t>Mike Crapo</w:t>
            </w:r>
          </w:p>
          <w:p w:rsidR="005D3FF8" w:rsidRPr="0006212A" w:rsidRDefault="005D3FF8" w:rsidP="005D3FF8">
            <w:pPr>
              <w:pStyle w:val="NoSpacing"/>
              <w:jc w:val="both"/>
              <w:rPr>
                <w:szCs w:val="24"/>
              </w:rPr>
            </w:pPr>
            <w:r w:rsidRPr="0006212A">
              <w:rPr>
                <w:szCs w:val="24"/>
              </w:rPr>
              <w:t>U.S. Senator</w:t>
            </w:r>
            <w:r w:rsidRPr="0006212A">
              <w:rPr>
                <w:szCs w:val="24"/>
              </w:rPr>
              <w:tab/>
            </w:r>
            <w:r w:rsidRPr="0006212A">
              <w:rPr>
                <w:szCs w:val="24"/>
              </w:rPr>
              <w:tab/>
            </w:r>
            <w:r w:rsidRPr="0006212A">
              <w:rPr>
                <w:szCs w:val="24"/>
              </w:rPr>
              <w:tab/>
            </w:r>
            <w:r w:rsidRPr="0006212A">
              <w:rPr>
                <w:szCs w:val="24"/>
              </w:rPr>
              <w:tab/>
            </w:r>
            <w:r w:rsidRPr="0006212A">
              <w:rPr>
                <w:szCs w:val="24"/>
              </w:rPr>
              <w:tab/>
            </w:r>
            <w:r w:rsidRPr="0006212A">
              <w:rPr>
                <w:szCs w:val="24"/>
              </w:rPr>
              <w:tab/>
            </w:r>
            <w:r w:rsidRPr="0006212A">
              <w:rPr>
                <w:szCs w:val="24"/>
              </w:rPr>
              <w:tab/>
              <w:t xml:space="preserve">                                                                       </w:t>
            </w:r>
          </w:p>
          <w:p w:rsidR="005D3FF8" w:rsidRDefault="005D3FF8" w:rsidP="005D3FF8">
            <w:pPr>
              <w:pStyle w:val="NoSpacing"/>
              <w:jc w:val="both"/>
            </w:pPr>
            <w:r w:rsidRPr="0006212A">
              <w:rPr>
                <w:szCs w:val="24"/>
              </w:rPr>
              <w:t>CC:     </w:t>
            </w:r>
          </w:p>
          <w:p w:rsidR="005D3FF8" w:rsidRPr="0006212A" w:rsidRDefault="005D3FF8" w:rsidP="005D3FF8">
            <w:pPr>
              <w:jc w:val="both"/>
            </w:pPr>
            <w:r w:rsidRPr="0006212A">
              <w:t>The Honorable Jacob Lew, Secretary of the Treasury, U.S. Department of the Treasury</w:t>
            </w:r>
          </w:p>
          <w:p w:rsidR="005D3FF8" w:rsidRPr="0006212A" w:rsidRDefault="005D3FF8" w:rsidP="005D3FF8">
            <w:pPr>
              <w:jc w:val="both"/>
            </w:pPr>
            <w:r w:rsidRPr="0006212A">
              <w:t>The Honorable Mark J. Mazur, Assistant Secretary for Tax Policy, U.S. Department of the Treasury</w:t>
            </w:r>
          </w:p>
          <w:p w:rsidR="005D3FF8" w:rsidRPr="0006212A" w:rsidRDefault="005D3FF8" w:rsidP="005D3FF8">
            <w:pPr>
              <w:jc w:val="both"/>
            </w:pPr>
            <w:r w:rsidRPr="0006212A">
              <w:t xml:space="preserve">Mr. Robert B. Stack, Deputy Assistant Secretary (International Tax Affairs), U.S. Department of the Treasury </w:t>
            </w:r>
          </w:p>
          <w:p w:rsidR="005D3FF8" w:rsidRPr="0006212A" w:rsidRDefault="005D3FF8" w:rsidP="005D3FF8">
            <w:pPr>
              <w:jc w:val="both"/>
            </w:pPr>
            <w:r w:rsidRPr="0006212A">
              <w:t>Ms. Emily S. McMahon, Deputy Assistant Secretary (Tax Policy), U.S. Department of the Treasury</w:t>
            </w:r>
          </w:p>
          <w:p w:rsidR="005D3FF8" w:rsidRDefault="005D3FF8" w:rsidP="005D3FF8">
            <w:pPr>
              <w:rPr>
                <w:sz w:val="26"/>
                <w:szCs w:val="26"/>
              </w:rPr>
            </w:pPr>
          </w:p>
          <w:p w:rsidR="00830019" w:rsidRDefault="00830019" w:rsidP="0028104A">
            <w:pPr>
              <w:jc w:val="center"/>
            </w:pPr>
            <w:r>
              <w:t>###</w:t>
            </w:r>
          </w:p>
          <w:p w:rsidR="0028104A" w:rsidRPr="00794A73" w:rsidRDefault="0028104A" w:rsidP="0028104A">
            <w:pPr>
              <w:jc w:val="center"/>
            </w:pPr>
          </w:p>
          <w:p w:rsidR="0057797F" w:rsidRPr="00415058" w:rsidRDefault="00267861" w:rsidP="00415058">
            <w:pPr>
              <w:jc w:val="center"/>
            </w:pPr>
            <w:r>
              <w:rPr>
                <w:noProof/>
                <w:color w:val="0000FF"/>
              </w:rPr>
              <w:drawing>
                <wp:inline distT="0" distB="0" distL="0" distR="0" wp14:anchorId="4E6A9510" wp14:editId="69E5684B">
                  <wp:extent cx="323850" cy="323850"/>
                  <wp:effectExtent l="0" t="0" r="0" b="0"/>
                  <wp:docPr id="6" name="Picture 6" descr="http://www.heller.senate.gov/public/vendor/_skins/heller/images/newsletter/icon_fb.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20DEEB27" wp14:editId="22EFEBD8">
                  <wp:extent cx="323850" cy="323850"/>
                  <wp:effectExtent l="0" t="0" r="0" b="0"/>
                  <wp:docPr id="7" name="Picture 7" descr="http://www.heller.senate.gov/public/vendor/_skins/heller/images/newsletter/icon_tw.p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69378B8B" wp14:editId="12F137AE">
                  <wp:extent cx="323850" cy="323850"/>
                  <wp:effectExtent l="0" t="0" r="0" b="0"/>
                  <wp:docPr id="8" name="Picture 8" descr="http://www.heller.senate.gov/public/vendor/_skins/heller/images/newsletter/icon_yt.png">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580E98" w:rsidRDefault="00580E98" w:rsidP="00743F3B"/>
    <w:sectPr w:rsidR="00580E98" w:rsidSect="0041505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8A7" w:rsidRDefault="004008A7" w:rsidP="004008A7">
      <w:r>
        <w:separator/>
      </w:r>
    </w:p>
  </w:endnote>
  <w:endnote w:type="continuationSeparator" w:id="0">
    <w:p w:rsidR="004008A7" w:rsidRDefault="004008A7" w:rsidP="00400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8A7" w:rsidRDefault="004008A7" w:rsidP="004008A7">
      <w:r>
        <w:separator/>
      </w:r>
    </w:p>
  </w:footnote>
  <w:footnote w:type="continuationSeparator" w:id="0">
    <w:p w:rsidR="004008A7" w:rsidRDefault="004008A7" w:rsidP="004008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1013"/>
    <w:multiLevelType w:val="hybridMultilevel"/>
    <w:tmpl w:val="C1383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4D5230"/>
    <w:multiLevelType w:val="hybridMultilevel"/>
    <w:tmpl w:val="804EB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525B9"/>
    <w:multiLevelType w:val="hybridMultilevel"/>
    <w:tmpl w:val="FA5C5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B28C2"/>
    <w:multiLevelType w:val="hybridMultilevel"/>
    <w:tmpl w:val="D94238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F3187"/>
    <w:multiLevelType w:val="multilevel"/>
    <w:tmpl w:val="AEDE0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B011A9"/>
    <w:multiLevelType w:val="multilevel"/>
    <w:tmpl w:val="82CE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86292E"/>
    <w:multiLevelType w:val="hybridMultilevel"/>
    <w:tmpl w:val="0EC0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F4420D"/>
    <w:multiLevelType w:val="hybridMultilevel"/>
    <w:tmpl w:val="5DAA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1B166F"/>
    <w:multiLevelType w:val="hybridMultilevel"/>
    <w:tmpl w:val="BE24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4751E2"/>
    <w:multiLevelType w:val="hybridMultilevel"/>
    <w:tmpl w:val="40848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85201E"/>
    <w:multiLevelType w:val="multilevel"/>
    <w:tmpl w:val="AFB09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9E149D2"/>
    <w:multiLevelType w:val="multilevel"/>
    <w:tmpl w:val="A4946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C64541"/>
    <w:multiLevelType w:val="hybridMultilevel"/>
    <w:tmpl w:val="21F28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6E4BEE"/>
    <w:multiLevelType w:val="hybridMultilevel"/>
    <w:tmpl w:val="78026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6F570B"/>
    <w:multiLevelType w:val="hybridMultilevel"/>
    <w:tmpl w:val="996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8"/>
  </w:num>
  <w:num w:numId="5">
    <w:abstractNumId w:val="7"/>
  </w:num>
  <w:num w:numId="6">
    <w:abstractNumId w:val="15"/>
  </w:num>
  <w:num w:numId="7">
    <w:abstractNumId w:val="12"/>
  </w:num>
  <w:num w:numId="8">
    <w:abstractNumId w:val="10"/>
  </w:num>
  <w:num w:numId="9">
    <w:abstractNumId w:val="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13"/>
  </w:num>
  <w:num w:numId="14">
    <w:abstractNumId w:val="0"/>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1A55"/>
    <w:rsid w:val="0000223C"/>
    <w:rsid w:val="00005E6D"/>
    <w:rsid w:val="0000799D"/>
    <w:rsid w:val="00017A5F"/>
    <w:rsid w:val="00026DAC"/>
    <w:rsid w:val="00034028"/>
    <w:rsid w:val="00062FC3"/>
    <w:rsid w:val="000656B9"/>
    <w:rsid w:val="00092A39"/>
    <w:rsid w:val="00097FA6"/>
    <w:rsid w:val="000B713E"/>
    <w:rsid w:val="000D0A2A"/>
    <w:rsid w:val="000D7709"/>
    <w:rsid w:val="000F0160"/>
    <w:rsid w:val="000F77BB"/>
    <w:rsid w:val="0016366B"/>
    <w:rsid w:val="00165FE2"/>
    <w:rsid w:val="00180F52"/>
    <w:rsid w:val="001942D5"/>
    <w:rsid w:val="001B7EFF"/>
    <w:rsid w:val="001C1F5F"/>
    <w:rsid w:val="001F3DE0"/>
    <w:rsid w:val="001F69F1"/>
    <w:rsid w:val="001F723E"/>
    <w:rsid w:val="00223438"/>
    <w:rsid w:val="00226558"/>
    <w:rsid w:val="00234D19"/>
    <w:rsid w:val="00252CF1"/>
    <w:rsid w:val="00256644"/>
    <w:rsid w:val="002615EF"/>
    <w:rsid w:val="00267861"/>
    <w:rsid w:val="0028104A"/>
    <w:rsid w:val="002A044A"/>
    <w:rsid w:val="002A0548"/>
    <w:rsid w:val="002A0D6A"/>
    <w:rsid w:val="002A6A8E"/>
    <w:rsid w:val="002B01F7"/>
    <w:rsid w:val="002B3923"/>
    <w:rsid w:val="002B62D0"/>
    <w:rsid w:val="002E2A3E"/>
    <w:rsid w:val="002E477F"/>
    <w:rsid w:val="002E56B0"/>
    <w:rsid w:val="002E76FB"/>
    <w:rsid w:val="002F6D67"/>
    <w:rsid w:val="00300375"/>
    <w:rsid w:val="00326464"/>
    <w:rsid w:val="00326FDA"/>
    <w:rsid w:val="0033010E"/>
    <w:rsid w:val="003347A2"/>
    <w:rsid w:val="0033597E"/>
    <w:rsid w:val="00342362"/>
    <w:rsid w:val="00343A41"/>
    <w:rsid w:val="00344737"/>
    <w:rsid w:val="00365DC2"/>
    <w:rsid w:val="003A218D"/>
    <w:rsid w:val="003B5DDB"/>
    <w:rsid w:val="003B7C0A"/>
    <w:rsid w:val="003C4208"/>
    <w:rsid w:val="003E17B9"/>
    <w:rsid w:val="004008A7"/>
    <w:rsid w:val="004017E9"/>
    <w:rsid w:val="0040519E"/>
    <w:rsid w:val="00413C3D"/>
    <w:rsid w:val="00415058"/>
    <w:rsid w:val="00427039"/>
    <w:rsid w:val="00446AD2"/>
    <w:rsid w:val="00451312"/>
    <w:rsid w:val="004550D6"/>
    <w:rsid w:val="0045582F"/>
    <w:rsid w:val="00457E10"/>
    <w:rsid w:val="00470119"/>
    <w:rsid w:val="0048773F"/>
    <w:rsid w:val="004B2C96"/>
    <w:rsid w:val="004C7FC9"/>
    <w:rsid w:val="004D2772"/>
    <w:rsid w:val="004F62B8"/>
    <w:rsid w:val="00513013"/>
    <w:rsid w:val="0052507B"/>
    <w:rsid w:val="005351F7"/>
    <w:rsid w:val="00541CAE"/>
    <w:rsid w:val="00552260"/>
    <w:rsid w:val="00556B19"/>
    <w:rsid w:val="0056310A"/>
    <w:rsid w:val="00563A9F"/>
    <w:rsid w:val="00571696"/>
    <w:rsid w:val="0057797F"/>
    <w:rsid w:val="00580E98"/>
    <w:rsid w:val="00582ECC"/>
    <w:rsid w:val="0059313C"/>
    <w:rsid w:val="005C0224"/>
    <w:rsid w:val="005D1DB8"/>
    <w:rsid w:val="005D3FF8"/>
    <w:rsid w:val="0060386E"/>
    <w:rsid w:val="00621D2F"/>
    <w:rsid w:val="0063309D"/>
    <w:rsid w:val="006602D7"/>
    <w:rsid w:val="0066285F"/>
    <w:rsid w:val="00667F94"/>
    <w:rsid w:val="00671297"/>
    <w:rsid w:val="006742C7"/>
    <w:rsid w:val="00676AEF"/>
    <w:rsid w:val="006913B9"/>
    <w:rsid w:val="006A0BF4"/>
    <w:rsid w:val="006A576C"/>
    <w:rsid w:val="006A703F"/>
    <w:rsid w:val="006A78BC"/>
    <w:rsid w:val="006C6BBB"/>
    <w:rsid w:val="006D23E9"/>
    <w:rsid w:val="006E1284"/>
    <w:rsid w:val="006F223B"/>
    <w:rsid w:val="006F6268"/>
    <w:rsid w:val="00703EBC"/>
    <w:rsid w:val="007218B8"/>
    <w:rsid w:val="00731484"/>
    <w:rsid w:val="00743F3B"/>
    <w:rsid w:val="00755C81"/>
    <w:rsid w:val="00762113"/>
    <w:rsid w:val="007637E1"/>
    <w:rsid w:val="00770B14"/>
    <w:rsid w:val="00773FC7"/>
    <w:rsid w:val="00780B54"/>
    <w:rsid w:val="00794A73"/>
    <w:rsid w:val="007A36B1"/>
    <w:rsid w:val="007D5CFA"/>
    <w:rsid w:val="007E2DDD"/>
    <w:rsid w:val="0080185E"/>
    <w:rsid w:val="008032FB"/>
    <w:rsid w:val="00811BA4"/>
    <w:rsid w:val="00813A0D"/>
    <w:rsid w:val="00814F44"/>
    <w:rsid w:val="00827203"/>
    <w:rsid w:val="00830019"/>
    <w:rsid w:val="00837950"/>
    <w:rsid w:val="00857A76"/>
    <w:rsid w:val="00871988"/>
    <w:rsid w:val="0089515A"/>
    <w:rsid w:val="008A2373"/>
    <w:rsid w:val="008A58C4"/>
    <w:rsid w:val="008B2EE2"/>
    <w:rsid w:val="008C4448"/>
    <w:rsid w:val="008C79E1"/>
    <w:rsid w:val="008D68EF"/>
    <w:rsid w:val="008F2CA9"/>
    <w:rsid w:val="008F7E41"/>
    <w:rsid w:val="0091536E"/>
    <w:rsid w:val="00916B71"/>
    <w:rsid w:val="00930B58"/>
    <w:rsid w:val="0093749C"/>
    <w:rsid w:val="00944D2E"/>
    <w:rsid w:val="009715E8"/>
    <w:rsid w:val="009938F1"/>
    <w:rsid w:val="009967C8"/>
    <w:rsid w:val="009A5285"/>
    <w:rsid w:val="009B33AB"/>
    <w:rsid w:val="009B4AFE"/>
    <w:rsid w:val="009C0866"/>
    <w:rsid w:val="009E4B1E"/>
    <w:rsid w:val="009F7DEE"/>
    <w:rsid w:val="00A01C78"/>
    <w:rsid w:val="00A1271C"/>
    <w:rsid w:val="00A643AC"/>
    <w:rsid w:val="00A67144"/>
    <w:rsid w:val="00A74C55"/>
    <w:rsid w:val="00A81FC8"/>
    <w:rsid w:val="00A9011D"/>
    <w:rsid w:val="00A949BA"/>
    <w:rsid w:val="00A973A8"/>
    <w:rsid w:val="00AA3C75"/>
    <w:rsid w:val="00AA5FC7"/>
    <w:rsid w:val="00AB3831"/>
    <w:rsid w:val="00AC687B"/>
    <w:rsid w:val="00AE0ED9"/>
    <w:rsid w:val="00AF2CD6"/>
    <w:rsid w:val="00AF754B"/>
    <w:rsid w:val="00B019F3"/>
    <w:rsid w:val="00B337AA"/>
    <w:rsid w:val="00B41991"/>
    <w:rsid w:val="00B5047B"/>
    <w:rsid w:val="00B66FA8"/>
    <w:rsid w:val="00B6711B"/>
    <w:rsid w:val="00B7693B"/>
    <w:rsid w:val="00BA51D5"/>
    <w:rsid w:val="00BA783A"/>
    <w:rsid w:val="00BC6DCA"/>
    <w:rsid w:val="00BD0DE2"/>
    <w:rsid w:val="00BE1ADE"/>
    <w:rsid w:val="00BE5497"/>
    <w:rsid w:val="00BF712C"/>
    <w:rsid w:val="00C013B3"/>
    <w:rsid w:val="00C26677"/>
    <w:rsid w:val="00C3379E"/>
    <w:rsid w:val="00C40B66"/>
    <w:rsid w:val="00C41872"/>
    <w:rsid w:val="00C42B95"/>
    <w:rsid w:val="00C50AB3"/>
    <w:rsid w:val="00C551ED"/>
    <w:rsid w:val="00C55484"/>
    <w:rsid w:val="00C571F1"/>
    <w:rsid w:val="00C6094A"/>
    <w:rsid w:val="00C64C41"/>
    <w:rsid w:val="00C6754D"/>
    <w:rsid w:val="00C76CC8"/>
    <w:rsid w:val="00C8463E"/>
    <w:rsid w:val="00C85D61"/>
    <w:rsid w:val="00C87AA4"/>
    <w:rsid w:val="00C94D89"/>
    <w:rsid w:val="00CB5DD5"/>
    <w:rsid w:val="00CC3C97"/>
    <w:rsid w:val="00CD4730"/>
    <w:rsid w:val="00CD5E4A"/>
    <w:rsid w:val="00CF116D"/>
    <w:rsid w:val="00CF40B3"/>
    <w:rsid w:val="00D14576"/>
    <w:rsid w:val="00D27611"/>
    <w:rsid w:val="00D311C4"/>
    <w:rsid w:val="00D35FA5"/>
    <w:rsid w:val="00D605AF"/>
    <w:rsid w:val="00D80AA6"/>
    <w:rsid w:val="00DA1AFE"/>
    <w:rsid w:val="00DC15F3"/>
    <w:rsid w:val="00DC590D"/>
    <w:rsid w:val="00DD5887"/>
    <w:rsid w:val="00DE3792"/>
    <w:rsid w:val="00DE6BF4"/>
    <w:rsid w:val="00E04733"/>
    <w:rsid w:val="00E0531D"/>
    <w:rsid w:val="00E11FFF"/>
    <w:rsid w:val="00E12267"/>
    <w:rsid w:val="00E13B6B"/>
    <w:rsid w:val="00E24579"/>
    <w:rsid w:val="00E30783"/>
    <w:rsid w:val="00E30A69"/>
    <w:rsid w:val="00E42841"/>
    <w:rsid w:val="00E61545"/>
    <w:rsid w:val="00E702B4"/>
    <w:rsid w:val="00E96D60"/>
    <w:rsid w:val="00E96E81"/>
    <w:rsid w:val="00ED3C0C"/>
    <w:rsid w:val="00ED47AC"/>
    <w:rsid w:val="00EF6BDD"/>
    <w:rsid w:val="00F03A67"/>
    <w:rsid w:val="00F05C60"/>
    <w:rsid w:val="00F14F7B"/>
    <w:rsid w:val="00F15F71"/>
    <w:rsid w:val="00F24DD6"/>
    <w:rsid w:val="00F3536E"/>
    <w:rsid w:val="00F41322"/>
    <w:rsid w:val="00F63DF1"/>
    <w:rsid w:val="00F63FF2"/>
    <w:rsid w:val="00F723CF"/>
    <w:rsid w:val="00F81CED"/>
    <w:rsid w:val="00F869D9"/>
    <w:rsid w:val="00F87362"/>
    <w:rsid w:val="00FA6B47"/>
    <w:rsid w:val="00FB0BA7"/>
    <w:rsid w:val="00FB2637"/>
    <w:rsid w:val="00FB61C6"/>
    <w:rsid w:val="00FC7136"/>
    <w:rsid w:val="00FF25B8"/>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BBD34-FCE0-4E9F-AF02-7B584115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B33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2E56B0"/>
  </w:style>
  <w:style w:type="character" w:customStyle="1" w:styleId="Heading2Char">
    <w:name w:val="Heading 2 Char"/>
    <w:basedOn w:val="DefaultParagraphFont"/>
    <w:link w:val="Heading2"/>
    <w:uiPriority w:val="9"/>
    <w:semiHidden/>
    <w:rsid w:val="009B33A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37950"/>
    <w:rPr>
      <w:b/>
      <w:bCs/>
    </w:rPr>
  </w:style>
  <w:style w:type="paragraph" w:styleId="NoSpacing">
    <w:name w:val="No Spacing"/>
    <w:basedOn w:val="Normal"/>
    <w:uiPriority w:val="1"/>
    <w:qFormat/>
    <w:rsid w:val="00794A73"/>
    <w:rPr>
      <w:szCs w:val="32"/>
    </w:rPr>
  </w:style>
  <w:style w:type="paragraph" w:customStyle="1" w:styleId="LeftNormal">
    <w:name w:val="LeftNormal"/>
    <w:basedOn w:val="Normal"/>
    <w:rsid w:val="00A973A8"/>
    <w:rPr>
      <w:rFonts w:eastAsia="Calibri"/>
    </w:rPr>
  </w:style>
  <w:style w:type="paragraph" w:styleId="FootnoteText">
    <w:name w:val="footnote text"/>
    <w:basedOn w:val="Normal"/>
    <w:link w:val="FootnoteTextChar"/>
    <w:uiPriority w:val="99"/>
    <w:semiHidden/>
    <w:unhideWhenUsed/>
    <w:rsid w:val="004008A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008A7"/>
    <w:rPr>
      <w:sz w:val="20"/>
      <w:szCs w:val="20"/>
    </w:rPr>
  </w:style>
  <w:style w:type="character" w:styleId="FootnoteReference">
    <w:name w:val="footnote reference"/>
    <w:basedOn w:val="DefaultParagraphFont"/>
    <w:uiPriority w:val="99"/>
    <w:semiHidden/>
    <w:unhideWhenUsed/>
    <w:rsid w:val="004008A7"/>
    <w:rPr>
      <w:vertAlign w:val="superscript"/>
    </w:rPr>
  </w:style>
  <w:style w:type="paragraph" w:customStyle="1" w:styleId="Default">
    <w:name w:val="Default"/>
    <w:rsid w:val="004550D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ault0">
    <w:name w:val="default"/>
    <w:basedOn w:val="Normal"/>
    <w:rsid w:val="00743F3B"/>
    <w:pPr>
      <w:autoSpaceDE w:val="0"/>
      <w:autoSpaceDN w:val="0"/>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0887">
      <w:bodyDiv w:val="1"/>
      <w:marLeft w:val="0"/>
      <w:marRight w:val="0"/>
      <w:marTop w:val="0"/>
      <w:marBottom w:val="0"/>
      <w:divBdr>
        <w:top w:val="none" w:sz="0" w:space="0" w:color="auto"/>
        <w:left w:val="none" w:sz="0" w:space="0" w:color="auto"/>
        <w:bottom w:val="none" w:sz="0" w:space="0" w:color="auto"/>
        <w:right w:val="none" w:sz="0" w:space="0" w:color="auto"/>
      </w:divBdr>
    </w:div>
    <w:div w:id="55710866">
      <w:bodyDiv w:val="1"/>
      <w:marLeft w:val="0"/>
      <w:marRight w:val="0"/>
      <w:marTop w:val="0"/>
      <w:marBottom w:val="0"/>
      <w:divBdr>
        <w:top w:val="none" w:sz="0" w:space="0" w:color="auto"/>
        <w:left w:val="none" w:sz="0" w:space="0" w:color="auto"/>
        <w:bottom w:val="none" w:sz="0" w:space="0" w:color="auto"/>
        <w:right w:val="none" w:sz="0" w:space="0" w:color="auto"/>
      </w:divBdr>
    </w:div>
    <w:div w:id="169679107">
      <w:bodyDiv w:val="1"/>
      <w:marLeft w:val="0"/>
      <w:marRight w:val="0"/>
      <w:marTop w:val="0"/>
      <w:marBottom w:val="0"/>
      <w:divBdr>
        <w:top w:val="none" w:sz="0" w:space="0" w:color="auto"/>
        <w:left w:val="none" w:sz="0" w:space="0" w:color="auto"/>
        <w:bottom w:val="none" w:sz="0" w:space="0" w:color="auto"/>
        <w:right w:val="none" w:sz="0" w:space="0" w:color="auto"/>
      </w:divBdr>
    </w:div>
    <w:div w:id="307831757">
      <w:bodyDiv w:val="1"/>
      <w:marLeft w:val="0"/>
      <w:marRight w:val="0"/>
      <w:marTop w:val="0"/>
      <w:marBottom w:val="0"/>
      <w:divBdr>
        <w:top w:val="none" w:sz="0" w:space="0" w:color="auto"/>
        <w:left w:val="none" w:sz="0" w:space="0" w:color="auto"/>
        <w:bottom w:val="none" w:sz="0" w:space="0" w:color="auto"/>
        <w:right w:val="none" w:sz="0" w:space="0" w:color="auto"/>
      </w:divBdr>
    </w:div>
    <w:div w:id="308704848">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392855448">
      <w:bodyDiv w:val="1"/>
      <w:marLeft w:val="0"/>
      <w:marRight w:val="0"/>
      <w:marTop w:val="0"/>
      <w:marBottom w:val="0"/>
      <w:divBdr>
        <w:top w:val="none" w:sz="0" w:space="0" w:color="auto"/>
        <w:left w:val="none" w:sz="0" w:space="0" w:color="auto"/>
        <w:bottom w:val="none" w:sz="0" w:space="0" w:color="auto"/>
        <w:right w:val="none" w:sz="0" w:space="0" w:color="auto"/>
      </w:divBdr>
    </w:div>
    <w:div w:id="467011602">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493767085">
      <w:bodyDiv w:val="1"/>
      <w:marLeft w:val="0"/>
      <w:marRight w:val="0"/>
      <w:marTop w:val="0"/>
      <w:marBottom w:val="0"/>
      <w:divBdr>
        <w:top w:val="none" w:sz="0" w:space="0" w:color="auto"/>
        <w:left w:val="none" w:sz="0" w:space="0" w:color="auto"/>
        <w:bottom w:val="none" w:sz="0" w:space="0" w:color="auto"/>
        <w:right w:val="none" w:sz="0" w:space="0" w:color="auto"/>
      </w:divBdr>
    </w:div>
    <w:div w:id="584070351">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55258941">
      <w:bodyDiv w:val="1"/>
      <w:marLeft w:val="0"/>
      <w:marRight w:val="0"/>
      <w:marTop w:val="0"/>
      <w:marBottom w:val="0"/>
      <w:divBdr>
        <w:top w:val="none" w:sz="0" w:space="0" w:color="auto"/>
        <w:left w:val="none" w:sz="0" w:space="0" w:color="auto"/>
        <w:bottom w:val="none" w:sz="0" w:space="0" w:color="auto"/>
        <w:right w:val="none" w:sz="0" w:space="0" w:color="auto"/>
      </w:divBdr>
    </w:div>
    <w:div w:id="758989323">
      <w:bodyDiv w:val="1"/>
      <w:marLeft w:val="0"/>
      <w:marRight w:val="0"/>
      <w:marTop w:val="0"/>
      <w:marBottom w:val="0"/>
      <w:divBdr>
        <w:top w:val="none" w:sz="0" w:space="0" w:color="auto"/>
        <w:left w:val="none" w:sz="0" w:space="0" w:color="auto"/>
        <w:bottom w:val="none" w:sz="0" w:space="0" w:color="auto"/>
        <w:right w:val="none" w:sz="0" w:space="0" w:color="auto"/>
      </w:divBdr>
    </w:div>
    <w:div w:id="966013312">
      <w:bodyDiv w:val="1"/>
      <w:marLeft w:val="0"/>
      <w:marRight w:val="0"/>
      <w:marTop w:val="0"/>
      <w:marBottom w:val="0"/>
      <w:divBdr>
        <w:top w:val="none" w:sz="0" w:space="0" w:color="auto"/>
        <w:left w:val="none" w:sz="0" w:space="0" w:color="auto"/>
        <w:bottom w:val="none" w:sz="0" w:space="0" w:color="auto"/>
        <w:right w:val="none" w:sz="0" w:space="0" w:color="auto"/>
      </w:divBdr>
    </w:div>
    <w:div w:id="1007367302">
      <w:bodyDiv w:val="1"/>
      <w:marLeft w:val="0"/>
      <w:marRight w:val="0"/>
      <w:marTop w:val="0"/>
      <w:marBottom w:val="0"/>
      <w:divBdr>
        <w:top w:val="none" w:sz="0" w:space="0" w:color="auto"/>
        <w:left w:val="none" w:sz="0" w:space="0" w:color="auto"/>
        <w:bottom w:val="none" w:sz="0" w:space="0" w:color="auto"/>
        <w:right w:val="none" w:sz="0" w:space="0" w:color="auto"/>
      </w:divBdr>
    </w:div>
    <w:div w:id="1015957325">
      <w:bodyDiv w:val="1"/>
      <w:marLeft w:val="0"/>
      <w:marRight w:val="0"/>
      <w:marTop w:val="0"/>
      <w:marBottom w:val="0"/>
      <w:divBdr>
        <w:top w:val="none" w:sz="0" w:space="0" w:color="auto"/>
        <w:left w:val="none" w:sz="0" w:space="0" w:color="auto"/>
        <w:bottom w:val="none" w:sz="0" w:space="0" w:color="auto"/>
        <w:right w:val="none" w:sz="0" w:space="0" w:color="auto"/>
      </w:divBdr>
    </w:div>
    <w:div w:id="1021323818">
      <w:bodyDiv w:val="1"/>
      <w:marLeft w:val="0"/>
      <w:marRight w:val="0"/>
      <w:marTop w:val="0"/>
      <w:marBottom w:val="0"/>
      <w:divBdr>
        <w:top w:val="none" w:sz="0" w:space="0" w:color="auto"/>
        <w:left w:val="none" w:sz="0" w:space="0" w:color="auto"/>
        <w:bottom w:val="none" w:sz="0" w:space="0" w:color="auto"/>
        <w:right w:val="none" w:sz="0" w:space="0" w:color="auto"/>
      </w:divBdr>
    </w:div>
    <w:div w:id="1129056579">
      <w:bodyDiv w:val="1"/>
      <w:marLeft w:val="0"/>
      <w:marRight w:val="0"/>
      <w:marTop w:val="0"/>
      <w:marBottom w:val="0"/>
      <w:divBdr>
        <w:top w:val="none" w:sz="0" w:space="0" w:color="auto"/>
        <w:left w:val="none" w:sz="0" w:space="0" w:color="auto"/>
        <w:bottom w:val="none" w:sz="0" w:space="0" w:color="auto"/>
        <w:right w:val="none" w:sz="0" w:space="0" w:color="auto"/>
      </w:divBdr>
    </w:div>
    <w:div w:id="1139497415">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29152484">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92480594">
      <w:bodyDiv w:val="1"/>
      <w:marLeft w:val="0"/>
      <w:marRight w:val="0"/>
      <w:marTop w:val="0"/>
      <w:marBottom w:val="0"/>
      <w:divBdr>
        <w:top w:val="none" w:sz="0" w:space="0" w:color="auto"/>
        <w:left w:val="none" w:sz="0" w:space="0" w:color="auto"/>
        <w:bottom w:val="none" w:sz="0" w:space="0" w:color="auto"/>
        <w:right w:val="none" w:sz="0" w:space="0" w:color="auto"/>
      </w:divBdr>
    </w:div>
    <w:div w:id="1493910264">
      <w:bodyDiv w:val="1"/>
      <w:marLeft w:val="0"/>
      <w:marRight w:val="0"/>
      <w:marTop w:val="0"/>
      <w:marBottom w:val="0"/>
      <w:divBdr>
        <w:top w:val="none" w:sz="0" w:space="0" w:color="auto"/>
        <w:left w:val="none" w:sz="0" w:space="0" w:color="auto"/>
        <w:bottom w:val="none" w:sz="0" w:space="0" w:color="auto"/>
        <w:right w:val="none" w:sz="0" w:space="0" w:color="auto"/>
      </w:divBdr>
    </w:div>
    <w:div w:id="1507983782">
      <w:bodyDiv w:val="1"/>
      <w:marLeft w:val="0"/>
      <w:marRight w:val="0"/>
      <w:marTop w:val="0"/>
      <w:marBottom w:val="0"/>
      <w:divBdr>
        <w:top w:val="none" w:sz="0" w:space="0" w:color="auto"/>
        <w:left w:val="none" w:sz="0" w:space="0" w:color="auto"/>
        <w:bottom w:val="none" w:sz="0" w:space="0" w:color="auto"/>
        <w:right w:val="none" w:sz="0" w:space="0" w:color="auto"/>
      </w:divBdr>
    </w:div>
    <w:div w:id="1606963164">
      <w:bodyDiv w:val="1"/>
      <w:marLeft w:val="0"/>
      <w:marRight w:val="0"/>
      <w:marTop w:val="0"/>
      <w:marBottom w:val="0"/>
      <w:divBdr>
        <w:top w:val="none" w:sz="0" w:space="0" w:color="auto"/>
        <w:left w:val="none" w:sz="0" w:space="0" w:color="auto"/>
        <w:bottom w:val="none" w:sz="0" w:space="0" w:color="auto"/>
        <w:right w:val="none" w:sz="0" w:space="0" w:color="auto"/>
      </w:divBdr>
    </w:div>
    <w:div w:id="1637107348">
      <w:bodyDiv w:val="1"/>
      <w:marLeft w:val="0"/>
      <w:marRight w:val="0"/>
      <w:marTop w:val="0"/>
      <w:marBottom w:val="0"/>
      <w:divBdr>
        <w:top w:val="none" w:sz="0" w:space="0" w:color="auto"/>
        <w:left w:val="none" w:sz="0" w:space="0" w:color="auto"/>
        <w:bottom w:val="none" w:sz="0" w:space="0" w:color="auto"/>
        <w:right w:val="none" w:sz="0" w:space="0" w:color="auto"/>
      </w:divBdr>
    </w:div>
    <w:div w:id="1701854014">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53622916">
      <w:bodyDiv w:val="1"/>
      <w:marLeft w:val="0"/>
      <w:marRight w:val="0"/>
      <w:marTop w:val="0"/>
      <w:marBottom w:val="0"/>
      <w:divBdr>
        <w:top w:val="none" w:sz="0" w:space="0" w:color="auto"/>
        <w:left w:val="none" w:sz="0" w:space="0" w:color="auto"/>
        <w:bottom w:val="none" w:sz="0" w:space="0" w:color="auto"/>
        <w:right w:val="none" w:sz="0" w:space="0" w:color="auto"/>
      </w:divBdr>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55991820">
      <w:bodyDiv w:val="1"/>
      <w:marLeft w:val="0"/>
      <w:marRight w:val="0"/>
      <w:marTop w:val="0"/>
      <w:marBottom w:val="0"/>
      <w:divBdr>
        <w:top w:val="none" w:sz="0" w:space="0" w:color="auto"/>
        <w:left w:val="none" w:sz="0" w:space="0" w:color="auto"/>
        <w:bottom w:val="none" w:sz="0" w:space="0" w:color="auto"/>
        <w:right w:val="none" w:sz="0" w:space="0" w:color="auto"/>
      </w:divBdr>
    </w:div>
    <w:div w:id="192001817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al_patel@heller.senate.gov" TargetMode="External"/><Relationship Id="rId13" Type="http://schemas.openxmlformats.org/officeDocument/2006/relationships/hyperlink" Target="http://twitter.com/SenDeanHeller" TargetMode="External"/><Relationship Id="rId18" Type="http://schemas.openxmlformats.org/officeDocument/2006/relationships/image" Target="cid:image005.png@01D07908.A11AC5D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cid:image003.png@01D07908.A11AC5D0"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www.youtube.com/user/SenDeanHell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cid:image004.png@01D07908.A11AC5D0" TargetMode="External"/><Relationship Id="rId10" Type="http://schemas.openxmlformats.org/officeDocument/2006/relationships/hyperlink" Target="http://www.facebook.com/pages/US-Senator-Dean-Heller/32575133017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eller.senate.gov/public/_cache/files/85a81d20-87ae-4be1-9953-55eae470b4c7/OMB%20Section%20385%20Letter2.pdf"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3</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5249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Patel, Neal (Heller)</cp:lastModifiedBy>
  <cp:revision>11</cp:revision>
  <cp:lastPrinted>2016-10-12T13:42:00Z</cp:lastPrinted>
  <dcterms:created xsi:type="dcterms:W3CDTF">2016-10-07T14:50:00Z</dcterms:created>
  <dcterms:modified xsi:type="dcterms:W3CDTF">2016-10-12T15:17:00Z</dcterms:modified>
</cp:coreProperties>
</file>