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bookmarkStart w:id="0" w:name="_GoBack" w:colFirst="0" w:colLast="1"/>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743F3B" w:rsidP="00F4010D">
                  <w:pPr>
                    <w:rPr>
                      <w:b/>
                    </w:rPr>
                  </w:pPr>
                  <w:r>
                    <w:t xml:space="preserve">October </w:t>
                  </w:r>
                  <w:r w:rsidR="00F4010D">
                    <w:t>26</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F754B" w:rsidRPr="00AF754B" w:rsidRDefault="00AF754B" w:rsidP="00AF754B">
            <w:pPr>
              <w:jc w:val="center"/>
              <w:rPr>
                <w:b/>
                <w:bCs/>
                <w:sz w:val="36"/>
                <w:szCs w:val="36"/>
              </w:rPr>
            </w:pPr>
            <w:r w:rsidRPr="00AF754B">
              <w:rPr>
                <w:b/>
                <w:bCs/>
                <w:sz w:val="36"/>
                <w:szCs w:val="36"/>
              </w:rPr>
              <w:t xml:space="preserve">Heller </w:t>
            </w:r>
            <w:r w:rsidR="00860977">
              <w:rPr>
                <w:b/>
                <w:bCs/>
                <w:sz w:val="36"/>
                <w:szCs w:val="36"/>
              </w:rPr>
              <w:t>Alarmed</w:t>
            </w:r>
            <w:r w:rsidRPr="00AF754B">
              <w:rPr>
                <w:b/>
                <w:bCs/>
                <w:sz w:val="36"/>
                <w:szCs w:val="36"/>
              </w:rPr>
              <w:t xml:space="preserve"> OMB Approv</w:t>
            </w:r>
            <w:r w:rsidR="00860977">
              <w:rPr>
                <w:b/>
                <w:bCs/>
                <w:sz w:val="36"/>
                <w:szCs w:val="36"/>
              </w:rPr>
              <w:t>ed</w:t>
            </w:r>
            <w:r w:rsidRPr="00AF754B">
              <w:rPr>
                <w:b/>
                <w:bCs/>
                <w:sz w:val="36"/>
                <w:szCs w:val="36"/>
              </w:rPr>
              <w:t xml:space="preserve"> </w:t>
            </w:r>
            <w:r w:rsidR="00860977">
              <w:rPr>
                <w:b/>
                <w:bCs/>
                <w:sz w:val="36"/>
                <w:szCs w:val="36"/>
              </w:rPr>
              <w:t xml:space="preserve">Complex </w:t>
            </w:r>
            <w:r w:rsidRPr="00AF754B">
              <w:rPr>
                <w:b/>
                <w:bCs/>
                <w:sz w:val="36"/>
                <w:szCs w:val="36"/>
              </w:rPr>
              <w:t>Section 385 Rules</w:t>
            </w:r>
            <w:r w:rsidR="00860977">
              <w:rPr>
                <w:b/>
                <w:bCs/>
                <w:sz w:val="36"/>
                <w:szCs w:val="36"/>
              </w:rPr>
              <w:t xml:space="preserve"> </w:t>
            </w:r>
            <w:r w:rsidR="00D2696D">
              <w:rPr>
                <w:b/>
                <w:bCs/>
                <w:sz w:val="36"/>
                <w:szCs w:val="36"/>
              </w:rPr>
              <w:t>Swiftly</w:t>
            </w:r>
          </w:p>
          <w:p w:rsidR="001C2284" w:rsidRDefault="00AF2CD6" w:rsidP="00660BB9">
            <w:pPr>
              <w:pStyle w:val="NormalWeb"/>
            </w:pPr>
            <w:r>
              <w:rPr>
                <w:b/>
                <w:bCs/>
              </w:rPr>
              <w:t xml:space="preserve">(Washington, DC) – </w:t>
            </w:r>
            <w:r w:rsidR="00860977">
              <w:t>Today</w:t>
            </w:r>
            <w:r w:rsidR="00B337AA" w:rsidRPr="00582ECC">
              <w:t xml:space="preserve">, United States Senator Dean Heller </w:t>
            </w:r>
            <w:r w:rsidR="00860977">
              <w:t>sent the following letter to</w:t>
            </w:r>
            <w:r w:rsidR="00B337AA" w:rsidRPr="00B337AA">
              <w:t xml:space="preserve"> the Office of Management and Budget (OMB) Director Shaun Donovan </w:t>
            </w:r>
            <w:r w:rsidR="001C2284">
              <w:t>calling for transparency s</w:t>
            </w:r>
            <w:r w:rsidR="00860977">
              <w:t>urrounding the recently approved United States Department of Treasury</w:t>
            </w:r>
            <w:r w:rsidR="00660BB9">
              <w:t xml:space="preserve"> Section 385 r</w:t>
            </w:r>
            <w:r w:rsidR="00860977">
              <w:t>ules.</w:t>
            </w:r>
            <w:r w:rsidR="00660BB9">
              <w:t xml:space="preserve"> Given this,</w:t>
            </w:r>
            <w:r w:rsidR="00860977">
              <w:t xml:space="preserve"> Heller requested a number of internal documents be made public in compliance with di</w:t>
            </w:r>
            <w:r w:rsidR="00D2696D">
              <w:t xml:space="preserve">sclosure </w:t>
            </w:r>
            <w:r w:rsidR="00660BB9">
              <w:t xml:space="preserve">and transparency requirements under Executive Order 12866. </w:t>
            </w:r>
          </w:p>
          <w:p w:rsidR="00300375" w:rsidRDefault="00300375" w:rsidP="00660BB9">
            <w:pPr>
              <w:pStyle w:val="NormalWeb"/>
              <w:rPr>
                <w:b/>
                <w:bCs/>
                <w:sz w:val="22"/>
                <w:szCs w:val="22"/>
                <w:u w:val="single"/>
              </w:rPr>
            </w:pPr>
            <w:r>
              <w:t xml:space="preserve">A PDF copy of the letter can be found </w:t>
            </w:r>
            <w:hyperlink r:id="rId9" w:history="1">
              <w:r w:rsidRPr="00D2696D">
                <w:rPr>
                  <w:rStyle w:val="Hyperlink"/>
                </w:rPr>
                <w:t>here</w:t>
              </w:r>
            </w:hyperlink>
            <w:r w:rsidRPr="00D2696D">
              <w:t>.</w:t>
            </w:r>
            <w:r>
              <w:t xml:space="preserve"> </w:t>
            </w:r>
          </w:p>
          <w:p w:rsidR="00457E10" w:rsidRPr="00457E10" w:rsidRDefault="00457E10" w:rsidP="001F723E">
            <w:pPr>
              <w:rPr>
                <w:b/>
                <w:u w:val="single"/>
                <w:shd w:val="clear" w:color="auto" w:fill="FFFFFF"/>
              </w:rPr>
            </w:pPr>
            <w:r w:rsidRPr="00457E10">
              <w:rPr>
                <w:b/>
                <w:u w:val="single"/>
                <w:shd w:val="clear" w:color="auto" w:fill="FFFFFF"/>
              </w:rPr>
              <w:t>Full text of letter to</w:t>
            </w:r>
            <w:r w:rsidR="00001A55">
              <w:rPr>
                <w:b/>
                <w:u w:val="single"/>
                <w:shd w:val="clear" w:color="auto" w:fill="FFFFFF"/>
              </w:rPr>
              <w:t xml:space="preserve"> </w:t>
            </w:r>
            <w:r w:rsidR="00743F3B">
              <w:rPr>
                <w:b/>
                <w:u w:val="single"/>
                <w:shd w:val="clear" w:color="auto" w:fill="FFFFFF"/>
              </w:rPr>
              <w:t>Director Donovan</w:t>
            </w:r>
            <w:r w:rsidRPr="00457E10">
              <w:rPr>
                <w:b/>
                <w:u w:val="single"/>
                <w:shd w:val="clear" w:color="auto" w:fill="FFFFFF"/>
              </w:rPr>
              <w:t>:</w:t>
            </w:r>
          </w:p>
          <w:p w:rsidR="00F03A67" w:rsidRDefault="00F03A67" w:rsidP="00621D2F"/>
          <w:p w:rsidR="005D3FF8" w:rsidRPr="0006212A" w:rsidRDefault="005D3FF8" w:rsidP="005D3FF8">
            <w:pPr>
              <w:pStyle w:val="default0"/>
              <w:jc w:val="both"/>
              <w:rPr>
                <w:color w:val="auto"/>
              </w:rPr>
            </w:pPr>
            <w:r w:rsidRPr="0006212A">
              <w:rPr>
                <w:color w:val="auto"/>
              </w:rPr>
              <w:t xml:space="preserve">The Honorable Shaun Donovan </w:t>
            </w:r>
          </w:p>
          <w:p w:rsidR="005D3FF8" w:rsidRPr="0006212A" w:rsidRDefault="005D3FF8" w:rsidP="005D3FF8">
            <w:pPr>
              <w:pStyle w:val="default0"/>
              <w:jc w:val="both"/>
              <w:rPr>
                <w:color w:val="auto"/>
              </w:rPr>
            </w:pPr>
            <w:r w:rsidRPr="0006212A">
              <w:rPr>
                <w:color w:val="auto"/>
              </w:rPr>
              <w:t>Director</w:t>
            </w:r>
          </w:p>
          <w:p w:rsidR="005D3FF8" w:rsidRPr="0006212A" w:rsidRDefault="005D3FF8" w:rsidP="005D3FF8">
            <w:pPr>
              <w:pStyle w:val="default0"/>
              <w:jc w:val="both"/>
              <w:rPr>
                <w:color w:val="auto"/>
              </w:rPr>
            </w:pPr>
            <w:r w:rsidRPr="0006212A">
              <w:rPr>
                <w:color w:val="auto"/>
              </w:rPr>
              <w:t>Office of Management and Budget (OMB)</w:t>
            </w:r>
          </w:p>
          <w:p w:rsidR="005D3FF8" w:rsidRPr="0006212A" w:rsidRDefault="005D3FF8" w:rsidP="005D3FF8">
            <w:pPr>
              <w:pStyle w:val="default0"/>
              <w:jc w:val="both"/>
              <w:rPr>
                <w:color w:val="auto"/>
              </w:rPr>
            </w:pPr>
            <w:r w:rsidRPr="0006212A">
              <w:rPr>
                <w:color w:val="auto"/>
              </w:rPr>
              <w:t>725 17</w:t>
            </w:r>
            <w:r w:rsidRPr="0006212A">
              <w:rPr>
                <w:color w:val="auto"/>
                <w:vertAlign w:val="superscript"/>
              </w:rPr>
              <w:t>th</w:t>
            </w:r>
            <w:r w:rsidRPr="0006212A">
              <w:rPr>
                <w:color w:val="auto"/>
              </w:rPr>
              <w:t xml:space="preserve"> Street, N.W.</w:t>
            </w:r>
          </w:p>
          <w:p w:rsidR="005D3FF8" w:rsidRPr="0006212A" w:rsidRDefault="005D3FF8" w:rsidP="005D3FF8">
            <w:pPr>
              <w:pStyle w:val="default0"/>
              <w:jc w:val="both"/>
              <w:rPr>
                <w:color w:val="auto"/>
              </w:rPr>
            </w:pPr>
            <w:r w:rsidRPr="0006212A">
              <w:rPr>
                <w:color w:val="auto"/>
              </w:rPr>
              <w:t>Washington, DC 20503</w:t>
            </w:r>
          </w:p>
          <w:p w:rsidR="005D3FF8" w:rsidRPr="0006212A" w:rsidRDefault="005D3FF8" w:rsidP="005D3FF8">
            <w:pPr>
              <w:jc w:val="both"/>
            </w:pPr>
            <w:r w:rsidRPr="0006212A">
              <w:t> </w:t>
            </w:r>
          </w:p>
          <w:p w:rsidR="00860977" w:rsidRDefault="00860977" w:rsidP="00860977">
            <w:pPr>
              <w:jc w:val="both"/>
              <w:rPr>
                <w:sz w:val="22"/>
                <w:szCs w:val="22"/>
              </w:rPr>
            </w:pPr>
            <w:r>
              <w:t>Re: Regulations under Internal Revenue Code Section 385 (TD 9790)</w:t>
            </w:r>
          </w:p>
          <w:p w:rsidR="00860977" w:rsidRDefault="00860977" w:rsidP="00860977">
            <w:pPr>
              <w:pStyle w:val="NoSpacing"/>
              <w:jc w:val="both"/>
            </w:pPr>
            <w:r>
              <w:rPr>
                <w:szCs w:val="24"/>
              </w:rPr>
              <w:t> </w:t>
            </w:r>
          </w:p>
          <w:p w:rsidR="00860977" w:rsidRDefault="00860977" w:rsidP="00860977">
            <w:pPr>
              <w:jc w:val="both"/>
            </w:pPr>
            <w:r>
              <w:t>Dear Director Donovan:</w:t>
            </w:r>
          </w:p>
          <w:p w:rsidR="00860977" w:rsidRDefault="00860977" w:rsidP="00860977">
            <w:pPr>
              <w:pStyle w:val="NoSpacing"/>
              <w:jc w:val="both"/>
            </w:pPr>
            <w:r>
              <w:rPr>
                <w:szCs w:val="24"/>
              </w:rPr>
              <w:t> </w:t>
            </w:r>
          </w:p>
          <w:p w:rsidR="00860977" w:rsidRDefault="00860977" w:rsidP="00860977">
            <w:pPr>
              <w:jc w:val="both"/>
              <w:rPr>
                <w:lang w:val="en"/>
              </w:rPr>
            </w:pPr>
            <w:r>
              <w:t xml:space="preserve">I am writing to you as a follow up to a letter my Senate Finance Committee colleagues and I sent on October 11, 2016. </w:t>
            </w:r>
            <w:r>
              <w:rPr>
                <w:color w:val="1F497D"/>
              </w:rPr>
              <w:t> </w:t>
            </w:r>
            <w:r>
              <w:t>I look forward to a detailed response from your agency</w:t>
            </w:r>
            <w:r>
              <w:rPr>
                <w:color w:val="1F497D"/>
              </w:rPr>
              <w:t xml:space="preserve">. </w:t>
            </w:r>
            <w:r>
              <w:t xml:space="preserve">As you know, the Treasury Department issued final and temporary debt-equity regulations under Internal Revenue Code section 385 </w:t>
            </w:r>
            <w:r>
              <w:rPr>
                <w:lang w:val="ru-RU"/>
              </w:rPr>
              <w:t xml:space="preserve">on </w:t>
            </w:r>
            <w:r>
              <w:t xml:space="preserve">October 13, 2016. Per my recent letter to your agency, I am strongly concerned that a thorough vetting took place from the Treasury in such a short period of time. I am alarmed with your agency taking only 8 working days to approve these complex rules. As a strong supporter of transparency in Congress, I respectfully request that you comply with the disclosure requirements in Executive Order #12866. Specifically, I request a number of documents be made public from </w:t>
            </w:r>
            <w:r>
              <w:rPr>
                <w:lang w:val="en"/>
              </w:rPr>
              <w:t>the OMB’s Office of Information and Regulatory Affairs (OIRA).</w:t>
            </w:r>
          </w:p>
          <w:p w:rsidR="00860977" w:rsidRDefault="00860977" w:rsidP="00860977">
            <w:pPr>
              <w:jc w:val="both"/>
              <w:rPr>
                <w:sz w:val="22"/>
                <w:szCs w:val="22"/>
              </w:rPr>
            </w:pPr>
          </w:p>
          <w:p w:rsidR="00860977" w:rsidRDefault="00860977" w:rsidP="00860977">
            <w:pPr>
              <w:pStyle w:val="default0"/>
              <w:jc w:val="both"/>
            </w:pPr>
            <w:r>
              <w:rPr>
                <w:color w:val="auto"/>
              </w:rPr>
              <w:t>As you know, under Executive Order #12866, the regulatory review process provides public disclosure requirements to your agency “to ensure greater openness, accessibility, and accountability.”</w:t>
            </w:r>
            <w:r>
              <w:rPr>
                <w:color w:val="1F497D"/>
              </w:rPr>
              <w:t xml:space="preserve"> </w:t>
            </w:r>
            <w:r>
              <w:rPr>
                <w:color w:val="auto"/>
              </w:rPr>
              <w:t xml:space="preserve">I hope that you will adhere to this Executive Order and ensure that the public has the opportunity to review these documents, particularly given the potential impact these regulations could have on American businesses. At a minimum, the documents between your agency and the Treasury Department should be released to the public to understand whether your agency rubber-stamped the Treasury’s suggestions on section 385 or made substantial changes. As you know, under section 6 of the executive order, “OIRA shall make available to the public </w:t>
            </w:r>
            <w:r>
              <w:rPr>
                <w:color w:val="auto"/>
                <w:u w:val="single"/>
              </w:rPr>
              <w:t>all documents</w:t>
            </w:r>
            <w:r>
              <w:rPr>
                <w:color w:val="auto"/>
              </w:rPr>
              <w:t xml:space="preserve"> exchanged between OIRA and the agency during the review.”</w:t>
            </w:r>
          </w:p>
          <w:p w:rsidR="00860977" w:rsidRDefault="00860977" w:rsidP="00860977">
            <w:pPr>
              <w:pStyle w:val="default0"/>
              <w:jc w:val="both"/>
            </w:pPr>
            <w:r>
              <w:rPr>
                <w:color w:val="auto"/>
              </w:rPr>
              <w:lastRenderedPageBreak/>
              <w:t> </w:t>
            </w:r>
          </w:p>
          <w:p w:rsidR="00860977" w:rsidRDefault="00860977" w:rsidP="00860977">
            <w:pPr>
              <w:pStyle w:val="default0"/>
              <w:jc w:val="both"/>
              <w:rPr>
                <w:color w:val="auto"/>
              </w:rPr>
            </w:pPr>
            <w:r>
              <w:rPr>
                <w:color w:val="auto"/>
              </w:rPr>
              <w:t>Given this, I believe in holding the Treasury Department accountable and respectfully request the following made public:</w:t>
            </w:r>
          </w:p>
          <w:p w:rsidR="00860977" w:rsidRDefault="00860977" w:rsidP="00860977">
            <w:pPr>
              <w:pStyle w:val="default0"/>
              <w:jc w:val="both"/>
            </w:pPr>
          </w:p>
          <w:p w:rsidR="00860977" w:rsidRDefault="00860977" w:rsidP="00860977">
            <w:pPr>
              <w:pStyle w:val="default0"/>
              <w:numPr>
                <w:ilvl w:val="0"/>
                <w:numId w:val="17"/>
              </w:numPr>
              <w:contextualSpacing/>
              <w:jc w:val="both"/>
            </w:pPr>
            <w:r>
              <w:rPr>
                <w:color w:val="auto"/>
              </w:rPr>
              <w:t xml:space="preserve">As required in section 6(a)(3)(E)(ii), identify in a complete manner the substantive changes between the draft submitted to OIRA for review and the action subsequently announced; </w:t>
            </w:r>
          </w:p>
          <w:p w:rsidR="00860977" w:rsidRDefault="00860977" w:rsidP="00860977">
            <w:pPr>
              <w:pStyle w:val="default0"/>
              <w:numPr>
                <w:ilvl w:val="0"/>
                <w:numId w:val="17"/>
              </w:numPr>
              <w:contextualSpacing/>
              <w:jc w:val="both"/>
            </w:pPr>
            <w:r>
              <w:rPr>
                <w:color w:val="auto"/>
              </w:rPr>
              <w:t>As required in section 6(a)(3)(E)(iii), identity those changes that were made at the recommendation of OIRA;</w:t>
            </w:r>
          </w:p>
          <w:p w:rsidR="00860977" w:rsidRDefault="00860977" w:rsidP="00860977">
            <w:pPr>
              <w:pStyle w:val="default0"/>
              <w:numPr>
                <w:ilvl w:val="0"/>
                <w:numId w:val="17"/>
              </w:numPr>
              <w:contextualSpacing/>
              <w:jc w:val="both"/>
            </w:pPr>
            <w:r>
              <w:rPr>
                <w:color w:val="auto"/>
              </w:rPr>
              <w:t>All written correspondence, including emails; and</w:t>
            </w:r>
          </w:p>
          <w:p w:rsidR="00860977" w:rsidRDefault="00860977" w:rsidP="00860977">
            <w:pPr>
              <w:pStyle w:val="default0"/>
              <w:numPr>
                <w:ilvl w:val="0"/>
                <w:numId w:val="17"/>
              </w:numPr>
              <w:contextualSpacing/>
              <w:jc w:val="both"/>
            </w:pPr>
            <w:r>
              <w:rPr>
                <w:color w:val="auto"/>
              </w:rPr>
              <w:t xml:space="preserve">All dates and names of individuals involved in substantive oral correspondence, including meetings and telephone conversations.  </w:t>
            </w:r>
          </w:p>
          <w:p w:rsidR="00860977" w:rsidRDefault="00860977" w:rsidP="00860977">
            <w:pPr>
              <w:pStyle w:val="default0"/>
              <w:jc w:val="both"/>
            </w:pPr>
            <w:r>
              <w:rPr>
                <w:color w:val="auto"/>
              </w:rPr>
              <w:t> </w:t>
            </w:r>
          </w:p>
          <w:p w:rsidR="00860977" w:rsidRDefault="00860977" w:rsidP="00860977">
            <w:pPr>
              <w:pStyle w:val="default0"/>
              <w:jc w:val="both"/>
            </w:pPr>
            <w:r>
              <w:rPr>
                <w:color w:val="auto"/>
              </w:rPr>
              <w:t xml:space="preserve">Thank you for your attention to this matter. I look forward to you complying with this Executive Order, particularly given the short period of time that was taken to approve the section 385 rules. I look forward to reviewing these documents and </w:t>
            </w:r>
            <w:r>
              <w:rPr>
                <w:color w:val="auto"/>
                <w:shd w:val="clear" w:color="auto" w:fill="FFFFFF"/>
              </w:rPr>
              <w:t>respectfully request a response to my concerns</w:t>
            </w:r>
            <w:r>
              <w:rPr>
                <w:b/>
                <w:bCs/>
                <w:color w:val="auto"/>
                <w:shd w:val="clear" w:color="auto" w:fill="FFFFFF"/>
              </w:rPr>
              <w:t xml:space="preserve"> by November 9, 2016.  </w:t>
            </w:r>
          </w:p>
          <w:p w:rsidR="00860977" w:rsidRDefault="00860977" w:rsidP="00860977">
            <w:pPr>
              <w:pStyle w:val="NoSpacing"/>
              <w:jc w:val="both"/>
            </w:pPr>
            <w:r>
              <w:rPr>
                <w:szCs w:val="24"/>
              </w:rPr>
              <w:t> </w:t>
            </w:r>
          </w:p>
          <w:p w:rsidR="00860977" w:rsidRDefault="00860977" w:rsidP="00860977">
            <w:pPr>
              <w:pStyle w:val="NoSpacing"/>
              <w:jc w:val="both"/>
            </w:pPr>
            <w:r>
              <w:rPr>
                <w:szCs w:val="24"/>
              </w:rPr>
              <w:t> </w:t>
            </w:r>
          </w:p>
          <w:p w:rsidR="00860977" w:rsidRDefault="00860977" w:rsidP="00860977">
            <w:pPr>
              <w:pStyle w:val="NoSpacing"/>
            </w:pPr>
            <w:r>
              <w:rPr>
                <w:szCs w:val="24"/>
              </w:rPr>
              <w:t>Sincerely,</w:t>
            </w:r>
          </w:p>
          <w:p w:rsidR="00860977" w:rsidRDefault="00860977" w:rsidP="00860977">
            <w:pPr>
              <w:pStyle w:val="NoSpacing"/>
              <w:jc w:val="both"/>
            </w:pPr>
            <w:r>
              <w:rPr>
                <w:szCs w:val="24"/>
              </w:rPr>
              <w:t> </w:t>
            </w:r>
          </w:p>
          <w:p w:rsidR="00860977" w:rsidRDefault="00860977" w:rsidP="00860977">
            <w:pPr>
              <w:pStyle w:val="NoSpacing"/>
              <w:jc w:val="both"/>
              <w:rPr>
                <w:szCs w:val="24"/>
              </w:rPr>
            </w:pPr>
          </w:p>
          <w:p w:rsidR="00860977" w:rsidRDefault="00860977" w:rsidP="00860977">
            <w:pPr>
              <w:pStyle w:val="NoSpacing"/>
              <w:jc w:val="both"/>
              <w:rPr>
                <w:sz w:val="22"/>
                <w:szCs w:val="22"/>
              </w:rPr>
            </w:pPr>
          </w:p>
          <w:p w:rsidR="00860977" w:rsidRDefault="00860977" w:rsidP="00860977">
            <w:pPr>
              <w:pStyle w:val="NoSpacing"/>
              <w:rPr>
                <w:szCs w:val="24"/>
              </w:rPr>
            </w:pPr>
            <w:r>
              <w:rPr>
                <w:szCs w:val="24"/>
              </w:rPr>
              <w:t xml:space="preserve">Dean Heller </w:t>
            </w:r>
          </w:p>
          <w:p w:rsidR="00860977" w:rsidRDefault="00860977" w:rsidP="00860977">
            <w:pPr>
              <w:pStyle w:val="NoSpacing"/>
              <w:rPr>
                <w:sz w:val="22"/>
                <w:szCs w:val="22"/>
              </w:rPr>
            </w:pPr>
            <w:r>
              <w:rPr>
                <w:szCs w:val="24"/>
              </w:rPr>
              <w:t xml:space="preserve">United States Senator </w:t>
            </w:r>
          </w:p>
          <w:p w:rsidR="00860977" w:rsidRDefault="00860977" w:rsidP="00860977">
            <w:pPr>
              <w:pStyle w:val="NoSpacing"/>
              <w:jc w:val="both"/>
            </w:pPr>
            <w:r>
              <w:rPr>
                <w:szCs w:val="24"/>
              </w:rPr>
              <w:t xml:space="preserve">                                                                        </w:t>
            </w:r>
          </w:p>
          <w:p w:rsidR="00860977" w:rsidRDefault="00860977" w:rsidP="00860977">
            <w:pPr>
              <w:pStyle w:val="NoSpacing"/>
              <w:jc w:val="both"/>
            </w:pPr>
            <w:r>
              <w:rPr>
                <w:szCs w:val="24"/>
              </w:rPr>
              <w:t> </w:t>
            </w:r>
          </w:p>
          <w:p w:rsidR="00860977" w:rsidRDefault="00860977" w:rsidP="00860977">
            <w:pPr>
              <w:jc w:val="both"/>
            </w:pPr>
            <w:r>
              <w:t>CC:     The Honorable Jacob Lew, Secretary of the Treasury, U.S. Department of the Treasury</w:t>
            </w:r>
          </w:p>
          <w:p w:rsidR="00860977" w:rsidRDefault="00860977" w:rsidP="00860977">
            <w:pPr>
              <w:ind w:left="720"/>
              <w:contextualSpacing/>
              <w:jc w:val="both"/>
            </w:pPr>
            <w:r>
              <w:t>The Honorable Mark J. Mazur, Assistant Secretary for Tax Policy, U.S. Department of the Treasury</w:t>
            </w:r>
          </w:p>
          <w:p w:rsidR="00860977" w:rsidRDefault="00860977" w:rsidP="00860977">
            <w:pPr>
              <w:ind w:left="720"/>
              <w:contextualSpacing/>
              <w:jc w:val="both"/>
            </w:pPr>
            <w:r>
              <w:t xml:space="preserve">Mr. Robert B. Stack, Deputy Assistant Secretary (International Tax Affairs), U.S. Department of    the Treasury </w:t>
            </w:r>
          </w:p>
          <w:p w:rsidR="00860977" w:rsidRDefault="00860977" w:rsidP="00860977">
            <w:pPr>
              <w:ind w:left="720"/>
              <w:contextualSpacing/>
              <w:jc w:val="both"/>
            </w:pPr>
            <w:r>
              <w:t>Ms. Emily S. McMahon, Deputy Assistant Secretary (Tax Policy), U.S. Department of the Treasury</w:t>
            </w:r>
          </w:p>
          <w:p w:rsidR="005D3FF8" w:rsidRPr="0006212A" w:rsidRDefault="005D3FF8" w:rsidP="005D3FF8">
            <w:pPr>
              <w:jc w:val="both"/>
            </w:pPr>
          </w:p>
          <w:p w:rsidR="005D3FF8" w:rsidRDefault="005D3FF8" w:rsidP="005D3FF8">
            <w:pPr>
              <w:rPr>
                <w:sz w:val="26"/>
                <w:szCs w:val="26"/>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bookmarkEnd w:id="0"/>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E2F31"/>
    <w:multiLevelType w:val="hybridMultilevel"/>
    <w:tmpl w:val="9976CF8E"/>
    <w:lvl w:ilvl="0" w:tplc="04090001">
      <w:start w:val="1"/>
      <w:numFmt w:val="bullet"/>
      <w:lvlText w:val=""/>
      <w:lvlJc w:val="left"/>
      <w:pPr>
        <w:ind w:left="720" w:hanging="360"/>
      </w:pPr>
      <w:rPr>
        <w:rFonts w:ascii="Symbol" w:hAnsi="Symbol" w:hint="default"/>
        <w:color w:val="auto"/>
      </w:rPr>
    </w:lvl>
    <w:lvl w:ilvl="1" w:tplc="86EECC4E">
      <w:numFmt w:val="bullet"/>
      <w:lvlText w:val="·"/>
      <w:lvlJc w:val="left"/>
      <w:pPr>
        <w:ind w:left="1470" w:hanging="390"/>
      </w:pPr>
      <w:rPr>
        <w:rFonts w:ascii="Times New Roman" w:eastAsia="Calibri"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16"/>
  </w:num>
  <w:num w:numId="7">
    <w:abstractNumId w:val="13"/>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65FE2"/>
    <w:rsid w:val="00180F52"/>
    <w:rsid w:val="001942D5"/>
    <w:rsid w:val="001B7EFF"/>
    <w:rsid w:val="001C1F5F"/>
    <w:rsid w:val="001C2284"/>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582F"/>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C0224"/>
    <w:rsid w:val="005D1DB8"/>
    <w:rsid w:val="005D3FF8"/>
    <w:rsid w:val="0060386E"/>
    <w:rsid w:val="00621D2F"/>
    <w:rsid w:val="0063309D"/>
    <w:rsid w:val="006602D7"/>
    <w:rsid w:val="00660BB9"/>
    <w:rsid w:val="0066285F"/>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5CFA"/>
    <w:rsid w:val="007E2DDD"/>
    <w:rsid w:val="0080185E"/>
    <w:rsid w:val="008032FB"/>
    <w:rsid w:val="00811BA4"/>
    <w:rsid w:val="00813A0D"/>
    <w:rsid w:val="00814F44"/>
    <w:rsid w:val="00827203"/>
    <w:rsid w:val="00830019"/>
    <w:rsid w:val="00837950"/>
    <w:rsid w:val="00857A76"/>
    <w:rsid w:val="00860977"/>
    <w:rsid w:val="00871988"/>
    <w:rsid w:val="0089515A"/>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43AC"/>
    <w:rsid w:val="00A67144"/>
    <w:rsid w:val="00A74C55"/>
    <w:rsid w:val="00A81FC8"/>
    <w:rsid w:val="00A9011D"/>
    <w:rsid w:val="00A949BA"/>
    <w:rsid w:val="00A973A8"/>
    <w:rsid w:val="00AA3C75"/>
    <w:rsid w:val="00AA5FC7"/>
    <w:rsid w:val="00AB3831"/>
    <w:rsid w:val="00AC687B"/>
    <w:rsid w:val="00AE0ED9"/>
    <w:rsid w:val="00AF2CD6"/>
    <w:rsid w:val="00AF754B"/>
    <w:rsid w:val="00B019F3"/>
    <w:rsid w:val="00B337AA"/>
    <w:rsid w:val="00B41991"/>
    <w:rsid w:val="00B5047B"/>
    <w:rsid w:val="00B66FA8"/>
    <w:rsid w:val="00B6711B"/>
    <w:rsid w:val="00B7693B"/>
    <w:rsid w:val="00BA51D5"/>
    <w:rsid w:val="00BA783A"/>
    <w:rsid w:val="00BC6DCA"/>
    <w:rsid w:val="00BD0DE2"/>
    <w:rsid w:val="00BE1ADE"/>
    <w:rsid w:val="00BE5497"/>
    <w:rsid w:val="00BF712C"/>
    <w:rsid w:val="00C013B3"/>
    <w:rsid w:val="00C26677"/>
    <w:rsid w:val="00C3379E"/>
    <w:rsid w:val="00C40B66"/>
    <w:rsid w:val="00C41872"/>
    <w:rsid w:val="00C42B95"/>
    <w:rsid w:val="00C50AB3"/>
    <w:rsid w:val="00C551ED"/>
    <w:rsid w:val="00C55484"/>
    <w:rsid w:val="00C571F1"/>
    <w:rsid w:val="00C6094A"/>
    <w:rsid w:val="00C64C41"/>
    <w:rsid w:val="00C6754D"/>
    <w:rsid w:val="00C76CC8"/>
    <w:rsid w:val="00C8463E"/>
    <w:rsid w:val="00C85D61"/>
    <w:rsid w:val="00C87AA4"/>
    <w:rsid w:val="00C94D89"/>
    <w:rsid w:val="00CB5DD5"/>
    <w:rsid w:val="00CC3C97"/>
    <w:rsid w:val="00CD4730"/>
    <w:rsid w:val="00CD5E4A"/>
    <w:rsid w:val="00CF116D"/>
    <w:rsid w:val="00CF40B3"/>
    <w:rsid w:val="00D14576"/>
    <w:rsid w:val="00D2696D"/>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666BA"/>
    <w:rsid w:val="00E702B4"/>
    <w:rsid w:val="00E96D60"/>
    <w:rsid w:val="00E96E81"/>
    <w:rsid w:val="00ED3C0C"/>
    <w:rsid w:val="00ED47AC"/>
    <w:rsid w:val="00EF6BDD"/>
    <w:rsid w:val="00F03A67"/>
    <w:rsid w:val="00F05C60"/>
    <w:rsid w:val="00F14F7B"/>
    <w:rsid w:val="00F15F71"/>
    <w:rsid w:val="00F24DD6"/>
    <w:rsid w:val="00F3536E"/>
    <w:rsid w:val="00F4010D"/>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515828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2264858">
      <w:bodyDiv w:val="1"/>
      <w:marLeft w:val="0"/>
      <w:marRight w:val="0"/>
      <w:marTop w:val="0"/>
      <w:marBottom w:val="0"/>
      <w:divBdr>
        <w:top w:val="none" w:sz="0" w:space="0" w:color="auto"/>
        <w:left w:val="none" w:sz="0" w:space="0" w:color="auto"/>
        <w:bottom w:val="none" w:sz="0" w:space="0" w:color="auto"/>
        <w:right w:val="none" w:sz="0" w:space="0" w:color="auto"/>
      </w:divBdr>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fa1b73d3-8f4d-4505-a8bc-a1e324b99dab/10262016%20Heller%20Letter%20to%20the%20OMB%20-%20Public%20Document%20Request.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5</cp:revision>
  <cp:lastPrinted>2016-10-12T13:42:00Z</cp:lastPrinted>
  <dcterms:created xsi:type="dcterms:W3CDTF">2016-10-26T18:44:00Z</dcterms:created>
  <dcterms:modified xsi:type="dcterms:W3CDTF">2016-10-26T19:32:00Z</dcterms:modified>
</cp:coreProperties>
</file>