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10" w:rsidRDefault="009F542A">
      <w:r>
        <w:t>“Ensuring that our nation’s infrastructure needs are met is one of the government’s primary responsibilities. This bipartisan legislation will help provide financing for critical infrastructure in a way that is both responsible and innovative. Nevada’s economy depends on safe and accessible transportation infrastructure, which is why I am eager to continue working on this legislation with my colleagues on bo</w:t>
      </w:r>
      <w:bookmarkStart w:id="0" w:name="_GoBack"/>
      <w:bookmarkEnd w:id="0"/>
      <w:r>
        <w:t>th sides of the aisle,” said Senator Dean Heller.</w:t>
      </w:r>
    </w:p>
    <w:p w:rsidR="009F542A" w:rsidRDefault="009F542A"/>
    <w:sectPr w:rsidR="009F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29"/>
    <w:rsid w:val="00355C74"/>
    <w:rsid w:val="00473429"/>
    <w:rsid w:val="009F542A"/>
    <w:rsid w:val="00B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2013-11-13T20:57:00Z</dcterms:created>
  <dcterms:modified xsi:type="dcterms:W3CDTF">2013-11-13T23:11:00Z</dcterms:modified>
</cp:coreProperties>
</file>