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3B" w:rsidRDefault="000B523B" w:rsidP="000B523B"/>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B523B" w:rsidRPr="006D0E64" w:rsidTr="00255946">
        <w:tc>
          <w:tcPr>
            <w:tcW w:w="9270" w:type="dxa"/>
          </w:tcPr>
          <w:p w:rsidR="000B523B" w:rsidRPr="006D0E64" w:rsidRDefault="000B523B" w:rsidP="00255946">
            <w:pPr>
              <w:jc w:val="center"/>
              <w:rPr>
                <w:b/>
              </w:rPr>
            </w:pPr>
            <w:r>
              <w:rPr>
                <w:noProof/>
              </w:rPr>
              <w:drawing>
                <wp:inline distT="0" distB="0" distL="0" distR="0" wp14:anchorId="6E708525" wp14:editId="6DB0DAD8">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CF70F4" w:rsidRPr="006D0E64" w:rsidTr="00255946">
              <w:tc>
                <w:tcPr>
                  <w:tcW w:w="5085" w:type="dxa"/>
                </w:tcPr>
                <w:p w:rsidR="00CF70F4" w:rsidRDefault="00CF70F4" w:rsidP="00CF70F4">
                  <w:pPr>
                    <w:spacing w:line="252" w:lineRule="auto"/>
                    <w:rPr>
                      <w:b/>
                      <w:bCs/>
                    </w:rPr>
                  </w:pPr>
                  <w:r>
                    <w:rPr>
                      <w:b/>
                      <w:bCs/>
                    </w:rPr>
                    <w:t>For Immediate Release:</w:t>
                  </w:r>
                </w:p>
              </w:tc>
              <w:tc>
                <w:tcPr>
                  <w:tcW w:w="4095" w:type="dxa"/>
                </w:tcPr>
                <w:p w:rsidR="00CF70F4" w:rsidRDefault="00CF70F4" w:rsidP="00CF70F4">
                  <w:pPr>
                    <w:spacing w:line="252" w:lineRule="auto"/>
                    <w:jc w:val="right"/>
                    <w:rPr>
                      <w:b/>
                      <w:bCs/>
                    </w:rPr>
                  </w:pPr>
                  <w:r>
                    <w:rPr>
                      <w:b/>
                      <w:bCs/>
                    </w:rPr>
                    <w:t xml:space="preserve">Contact: </w:t>
                  </w:r>
                  <w:hyperlink r:id="rId6" w:history="1">
                    <w:r>
                      <w:rPr>
                        <w:rStyle w:val="Hyperlink"/>
                      </w:rPr>
                      <w:t>Megan Taylor</w:t>
                    </w:r>
                  </w:hyperlink>
                </w:p>
              </w:tc>
            </w:tr>
            <w:tr w:rsidR="00CF70F4" w:rsidRPr="006D0E64" w:rsidTr="00255946">
              <w:tc>
                <w:tcPr>
                  <w:tcW w:w="5085" w:type="dxa"/>
                </w:tcPr>
                <w:p w:rsidR="00CF70F4" w:rsidRDefault="00CF70F4" w:rsidP="00CF70F4">
                  <w:pPr>
                    <w:spacing w:line="252" w:lineRule="auto"/>
                    <w:rPr>
                      <w:b/>
                      <w:bCs/>
                    </w:rPr>
                  </w:pPr>
                  <w:r>
                    <w:t>April 26</w:t>
                  </w:r>
                  <w:bookmarkStart w:id="0" w:name="_GoBack"/>
                  <w:bookmarkEnd w:id="0"/>
                  <w:r>
                    <w:t>, 2017</w:t>
                  </w:r>
                </w:p>
              </w:tc>
              <w:tc>
                <w:tcPr>
                  <w:tcW w:w="4095" w:type="dxa"/>
                </w:tcPr>
                <w:p w:rsidR="00CF70F4" w:rsidRDefault="00CF70F4" w:rsidP="00CF70F4">
                  <w:pPr>
                    <w:spacing w:line="252" w:lineRule="auto"/>
                    <w:jc w:val="right"/>
                    <w:rPr>
                      <w:b/>
                      <w:bCs/>
                    </w:rPr>
                  </w:pPr>
                  <w:r>
                    <w:t>202-224-6244</w:t>
                  </w:r>
                </w:p>
              </w:tc>
            </w:tr>
          </w:tbl>
          <w:p w:rsidR="000B523B" w:rsidRPr="006D0E64" w:rsidRDefault="000B523B" w:rsidP="00255946">
            <w:pPr>
              <w:rPr>
                <w:b/>
              </w:rPr>
            </w:pPr>
          </w:p>
          <w:p w:rsidR="000B523B" w:rsidRDefault="00190E8B" w:rsidP="00255946">
            <w:pPr>
              <w:jc w:val="center"/>
              <w:rPr>
                <w:b/>
                <w:bCs/>
                <w:sz w:val="36"/>
                <w:szCs w:val="36"/>
              </w:rPr>
            </w:pPr>
            <w:r>
              <w:rPr>
                <w:b/>
                <w:bCs/>
                <w:sz w:val="36"/>
                <w:szCs w:val="36"/>
              </w:rPr>
              <w:t>Senate Acts on Heller Legislation Benefitting</w:t>
            </w:r>
            <w:r w:rsidR="000B523B">
              <w:rPr>
                <w:b/>
                <w:bCs/>
                <w:sz w:val="36"/>
                <w:szCs w:val="36"/>
              </w:rPr>
              <w:t xml:space="preserve"> Nevada’s Small Businesses, </w:t>
            </w:r>
            <w:r w:rsidR="00014231">
              <w:rPr>
                <w:b/>
                <w:bCs/>
                <w:sz w:val="36"/>
                <w:szCs w:val="36"/>
              </w:rPr>
              <w:t>Investors</w:t>
            </w:r>
            <w:r w:rsidR="002617BF">
              <w:rPr>
                <w:b/>
                <w:bCs/>
                <w:sz w:val="36"/>
                <w:szCs w:val="36"/>
              </w:rPr>
              <w:t>, and Taxpayers</w:t>
            </w:r>
          </w:p>
          <w:p w:rsidR="000B523B" w:rsidRDefault="000B523B" w:rsidP="00255946">
            <w:r>
              <w:t> </w:t>
            </w:r>
          </w:p>
          <w:p w:rsidR="000B523B" w:rsidRPr="003E5D7E" w:rsidRDefault="000B523B" w:rsidP="00255946">
            <w:pPr>
              <w:rPr>
                <w:sz w:val="22"/>
                <w:szCs w:val="22"/>
              </w:rPr>
            </w:pPr>
            <w:r w:rsidRPr="003E5D7E">
              <w:rPr>
                <w:b/>
                <w:bCs/>
              </w:rPr>
              <w:t>Washington, D</w:t>
            </w:r>
            <w:r w:rsidR="0095498C">
              <w:rPr>
                <w:b/>
                <w:bCs/>
              </w:rPr>
              <w:t>.</w:t>
            </w:r>
            <w:r w:rsidRPr="003E5D7E">
              <w:rPr>
                <w:b/>
                <w:bCs/>
              </w:rPr>
              <w:t>C</w:t>
            </w:r>
            <w:r w:rsidR="0095498C">
              <w:rPr>
                <w:b/>
                <w:bCs/>
              </w:rPr>
              <w:t>.</w:t>
            </w:r>
            <w:r>
              <w:t xml:space="preserve"> – Today</w:t>
            </w:r>
            <w:r w:rsidRPr="003E5D7E">
              <w:t>,</w:t>
            </w:r>
            <w:r>
              <w:t xml:space="preserve"> three pieces of </w:t>
            </w:r>
            <w:r w:rsidR="002617BF">
              <w:t xml:space="preserve">bipartisan </w:t>
            </w:r>
            <w:r>
              <w:t xml:space="preserve">legislation </w:t>
            </w:r>
            <w:r w:rsidR="00EC6A4E">
              <w:t>le</w:t>
            </w:r>
            <w:r w:rsidR="00014231">
              <w:t>d</w:t>
            </w:r>
            <w:r w:rsidR="002617BF">
              <w:t xml:space="preserve"> </w:t>
            </w:r>
            <w:r>
              <w:t>by</w:t>
            </w:r>
            <w:r w:rsidRPr="003E5D7E">
              <w:t xml:space="preserve"> U.S. Senator </w:t>
            </w:r>
            <w:r>
              <w:t>Dean Heller (R-NV) moved through the</w:t>
            </w:r>
            <w:r w:rsidR="00190E8B">
              <w:t xml:space="preserve"> U.S. Senate and will go to the U.S. House of Representatives for consideration. </w:t>
            </w:r>
            <w:r w:rsidR="002617BF">
              <w:t xml:space="preserve">These three bills are designed to </w:t>
            </w:r>
            <w:r w:rsidR="00014231">
              <w:t>help</w:t>
            </w:r>
            <w:r w:rsidR="002617BF">
              <w:t xml:space="preserve"> Nevada’s small business</w:t>
            </w:r>
            <w:r w:rsidR="00EC6A4E">
              <w:t>es</w:t>
            </w:r>
            <w:r w:rsidR="004E6242">
              <w:t>,</w:t>
            </w:r>
            <w:r w:rsidR="00EC6A4E">
              <w:t xml:space="preserve"> provide</w:t>
            </w:r>
            <w:r w:rsidR="00014231">
              <w:t xml:space="preserve"> investors </w:t>
            </w:r>
            <w:r w:rsidR="00EC6A4E">
              <w:t xml:space="preserve">with </w:t>
            </w:r>
            <w:r w:rsidR="00014231">
              <w:t>more information</w:t>
            </w:r>
            <w:r w:rsidR="004E6242">
              <w:t>,</w:t>
            </w:r>
            <w:r w:rsidR="00014231">
              <w:t xml:space="preserve"> </w:t>
            </w:r>
            <w:r w:rsidR="00EC6A4E">
              <w:t xml:space="preserve">as well as </w:t>
            </w:r>
            <w:r w:rsidR="00945F35">
              <w:t>hold</w:t>
            </w:r>
            <w:r w:rsidR="00A65F6B">
              <w:t xml:space="preserve"> the</w:t>
            </w:r>
            <w:r w:rsidR="002617BF">
              <w:t xml:space="preserve"> federal government accountable. </w:t>
            </w:r>
          </w:p>
          <w:p w:rsidR="000B523B" w:rsidRPr="003E5D7E" w:rsidRDefault="000B523B" w:rsidP="00255946"/>
          <w:p w:rsidR="0032409F" w:rsidRDefault="000B523B" w:rsidP="00255946">
            <w:r w:rsidRPr="003E5D7E">
              <w:t>“</w:t>
            </w:r>
            <w:r w:rsidR="002617BF">
              <w:t xml:space="preserve">Whether you are </w:t>
            </w:r>
            <w:r w:rsidR="004E6242">
              <w:t>an entrepreneur</w:t>
            </w:r>
            <w:r w:rsidR="002617BF">
              <w:t>, a</w:t>
            </w:r>
            <w:r w:rsidR="009C0989">
              <w:t>n investor</w:t>
            </w:r>
            <w:r w:rsidR="002617BF">
              <w:t xml:space="preserve"> trying to make informed financial decisions, or a taxpayer rightfully demanding accountability from </w:t>
            </w:r>
            <w:r w:rsidR="009C0989">
              <w:t>the</w:t>
            </w:r>
            <w:r w:rsidR="002617BF">
              <w:t xml:space="preserve"> federal government</w:t>
            </w:r>
            <w:r w:rsidR="009C0989">
              <w:t>,</w:t>
            </w:r>
            <w:r w:rsidR="002617BF">
              <w:t xml:space="preserve"> </w:t>
            </w:r>
            <w:r w:rsidR="004E6242">
              <w:t>the</w:t>
            </w:r>
            <w:r w:rsidR="009C0989">
              <w:t>s</w:t>
            </w:r>
            <w:r w:rsidR="004E6242">
              <w:t>e</w:t>
            </w:r>
            <w:r w:rsidR="009C0989">
              <w:t xml:space="preserve"> </w:t>
            </w:r>
            <w:r w:rsidR="002617BF">
              <w:t>bipartisan</w:t>
            </w:r>
            <w:r w:rsidR="004E6242">
              <w:t xml:space="preserve"> pieces of legislation are</w:t>
            </w:r>
            <w:r w:rsidR="00390A83">
              <w:t xml:space="preserve"> a step forward,” </w:t>
            </w:r>
            <w:r w:rsidR="00390A83">
              <w:rPr>
                <w:b/>
              </w:rPr>
              <w:t xml:space="preserve">said </w:t>
            </w:r>
            <w:r w:rsidR="00390A83">
              <w:rPr>
                <w:b/>
                <w:bCs/>
              </w:rPr>
              <w:t xml:space="preserve">Senator </w:t>
            </w:r>
            <w:r w:rsidR="00390A83" w:rsidRPr="002617BF">
              <w:rPr>
                <w:b/>
                <w:bCs/>
              </w:rPr>
              <w:t>Heller</w:t>
            </w:r>
            <w:r w:rsidR="00390A83" w:rsidRPr="00390A83">
              <w:t>.</w:t>
            </w:r>
            <w:r w:rsidR="00190E8B" w:rsidRPr="00390A83">
              <w:t xml:space="preserve"> </w:t>
            </w:r>
            <w:r w:rsidR="00390A83">
              <w:t>“</w:t>
            </w:r>
            <w:r w:rsidR="00190E8B">
              <w:t>I am pleased to see my colleagues come together</w:t>
            </w:r>
            <w:r w:rsidR="00A65F6B">
              <w:t xml:space="preserve"> </w:t>
            </w:r>
            <w:r w:rsidR="00190E8B">
              <w:t xml:space="preserve">behind </w:t>
            </w:r>
            <w:r w:rsidR="00A65F6B">
              <w:t>common-</w:t>
            </w:r>
            <w:r w:rsidR="002617BF">
              <w:t>sense legislation</w:t>
            </w:r>
            <w:r w:rsidR="0032409F">
              <w:t xml:space="preserve"> that</w:t>
            </w:r>
            <w:r w:rsidR="00014231">
              <w:t xml:space="preserve"> helps </w:t>
            </w:r>
            <w:r w:rsidR="00014231" w:rsidRPr="00014231">
              <w:t xml:space="preserve">small </w:t>
            </w:r>
            <w:r w:rsidR="00014231">
              <w:t xml:space="preserve">businesses have access to capital and for investors to have access to research. </w:t>
            </w:r>
            <w:r w:rsidR="0032409F">
              <w:t xml:space="preserve">I am proud </w:t>
            </w:r>
            <w:r w:rsidR="00190E8B">
              <w:t>of our work across party lines and hope to see the House take swift action and move this legislation forward</w:t>
            </w:r>
            <w:r w:rsidR="00390A83">
              <w:t xml:space="preserve">. </w:t>
            </w:r>
          </w:p>
          <w:p w:rsidR="000B523B" w:rsidRPr="003E5D7E" w:rsidRDefault="000B523B" w:rsidP="00255946">
            <w:pPr>
              <w:rPr>
                <w:b/>
                <w:bCs/>
                <w:u w:val="single"/>
              </w:rPr>
            </w:pPr>
          </w:p>
          <w:p w:rsidR="000B523B" w:rsidRPr="003E5D7E" w:rsidRDefault="000B523B" w:rsidP="00255946">
            <w:pPr>
              <w:rPr>
                <w:b/>
                <w:bCs/>
                <w:u w:val="single"/>
              </w:rPr>
            </w:pPr>
            <w:r w:rsidRPr="003E5D7E">
              <w:rPr>
                <w:b/>
                <w:bCs/>
                <w:u w:val="single"/>
              </w:rPr>
              <w:t xml:space="preserve">Background: </w:t>
            </w:r>
          </w:p>
          <w:p w:rsidR="000B523B" w:rsidRPr="003E5D7E" w:rsidRDefault="000B523B" w:rsidP="00255946">
            <w:pPr>
              <w:rPr>
                <w:b/>
                <w:bCs/>
                <w:u w:val="single"/>
              </w:rPr>
            </w:pPr>
          </w:p>
          <w:p w:rsidR="000B523B" w:rsidRPr="003E5D7E" w:rsidRDefault="000B523B" w:rsidP="00255946">
            <w:r w:rsidRPr="003E5D7E">
              <w:rPr>
                <w:b/>
                <w:bCs/>
              </w:rPr>
              <w:t>Heller</w:t>
            </w:r>
            <w:r w:rsidR="009C0989">
              <w:rPr>
                <w:b/>
                <w:bCs/>
              </w:rPr>
              <w:t>-Peters</w:t>
            </w:r>
            <w:r w:rsidRPr="003E5D7E">
              <w:rPr>
                <w:b/>
                <w:bCs/>
              </w:rPr>
              <w:t xml:space="preserve"> bill</w:t>
            </w:r>
            <w:r>
              <w:rPr>
                <w:b/>
                <w:bCs/>
              </w:rPr>
              <w:t xml:space="preserve"> </w:t>
            </w:r>
            <w:hyperlink r:id="rId7" w:history="1">
              <w:r w:rsidRPr="000724FF">
                <w:rPr>
                  <w:rStyle w:val="Hyperlink"/>
                  <w:b/>
                  <w:bCs/>
                </w:rPr>
                <w:t xml:space="preserve">S. </w:t>
              </w:r>
              <w:r w:rsidR="002617BF" w:rsidRPr="000724FF">
                <w:rPr>
                  <w:rStyle w:val="Hyperlink"/>
                  <w:b/>
                  <w:bCs/>
                </w:rPr>
                <w:t>327</w:t>
              </w:r>
            </w:hyperlink>
            <w:r>
              <w:rPr>
                <w:b/>
                <w:bCs/>
              </w:rPr>
              <w:t>,</w:t>
            </w:r>
            <w:r w:rsidRPr="003E5D7E">
              <w:rPr>
                <w:b/>
                <w:bCs/>
              </w:rPr>
              <w:t xml:space="preserve"> </w:t>
            </w:r>
            <w:r w:rsidR="002617BF">
              <w:rPr>
                <w:u w:val="single"/>
              </w:rPr>
              <w:t>Fair Access to Investment Research Act of 2017</w:t>
            </w:r>
          </w:p>
          <w:p w:rsidR="000B523B" w:rsidRDefault="000B523B" w:rsidP="009C0989">
            <w:pPr>
              <w:pStyle w:val="ListParagraph"/>
              <w:numPr>
                <w:ilvl w:val="0"/>
                <w:numId w:val="1"/>
              </w:numPr>
            </w:pPr>
            <w:r w:rsidRPr="003E5D7E">
              <w:rPr>
                <w:b/>
                <w:bCs/>
              </w:rPr>
              <w:t xml:space="preserve">Background: </w:t>
            </w:r>
            <w:r w:rsidR="009C0989" w:rsidRPr="009C0989">
              <w:t xml:space="preserve">Currently, securities laws provide legal protections for broker-dealers to provide </w:t>
            </w:r>
            <w:r w:rsidR="009C0989" w:rsidRPr="00A65F6B">
              <w:t>research reports for several asset classes such as listed stocks and corporate debt — but not</w:t>
            </w:r>
            <w:r w:rsidR="00A65F6B" w:rsidRPr="00A65F6B">
              <w:t xml:space="preserve"> for </w:t>
            </w:r>
            <w:r w:rsidR="00A65F6B" w:rsidRPr="00A65F6B">
              <w:rPr>
                <w:color w:val="313131"/>
                <w:shd w:val="clear" w:color="auto" w:fill="FFFFFF"/>
              </w:rPr>
              <w:t>Exchange Traded Funds</w:t>
            </w:r>
            <w:r w:rsidR="00A65F6B" w:rsidRPr="00A65F6B">
              <w:t xml:space="preserve"> (ETFs). </w:t>
            </w:r>
            <w:r w:rsidR="009C0989" w:rsidRPr="00A65F6B">
              <w:t xml:space="preserve">The Fair Access to Investment Research Act would create parity in the law by </w:t>
            </w:r>
            <w:r w:rsidR="004E6242">
              <w:t>allowing</w:t>
            </w:r>
            <w:r w:rsidR="009C0989" w:rsidRPr="00A65F6B">
              <w:t xml:space="preserve"> broker-dealers to publish public research reports on ETFs</w:t>
            </w:r>
            <w:r w:rsidR="004E6242">
              <w:t>, which millions of households invest in.</w:t>
            </w:r>
          </w:p>
          <w:p w:rsidR="000B523B" w:rsidRDefault="000B523B" w:rsidP="000B523B"/>
          <w:p w:rsidR="000B523B" w:rsidRPr="003E5D7E" w:rsidRDefault="009C0989" w:rsidP="000B523B">
            <w:r w:rsidRPr="009C0989">
              <w:rPr>
                <w:b/>
                <w:bCs/>
              </w:rPr>
              <w:t>Heitkamp</w:t>
            </w:r>
            <w:r w:rsidR="00162D8A">
              <w:rPr>
                <w:b/>
                <w:bCs/>
              </w:rPr>
              <w:t>-Heller</w:t>
            </w:r>
            <w:r w:rsidR="000B523B" w:rsidRPr="003E5D7E">
              <w:rPr>
                <w:b/>
                <w:bCs/>
              </w:rPr>
              <w:t xml:space="preserve"> bill</w:t>
            </w:r>
            <w:r w:rsidR="000B523B">
              <w:rPr>
                <w:b/>
                <w:bCs/>
              </w:rPr>
              <w:t xml:space="preserve"> </w:t>
            </w:r>
            <w:hyperlink r:id="rId8" w:history="1">
              <w:r w:rsidR="000B523B" w:rsidRPr="000724FF">
                <w:rPr>
                  <w:rStyle w:val="Hyperlink"/>
                  <w:b/>
                  <w:bCs/>
                </w:rPr>
                <w:t xml:space="preserve">S. </w:t>
              </w:r>
              <w:r w:rsidRPr="000724FF">
                <w:rPr>
                  <w:rStyle w:val="Hyperlink"/>
                  <w:b/>
                  <w:bCs/>
                </w:rPr>
                <w:t>444</w:t>
              </w:r>
            </w:hyperlink>
            <w:r w:rsidR="000B523B">
              <w:rPr>
                <w:b/>
                <w:bCs/>
              </w:rPr>
              <w:t>,</w:t>
            </w:r>
            <w:r w:rsidR="000B523B" w:rsidRPr="003E5D7E">
              <w:rPr>
                <w:b/>
                <w:bCs/>
              </w:rPr>
              <w:t xml:space="preserve"> </w:t>
            </w:r>
            <w:r w:rsidRPr="009C0989">
              <w:rPr>
                <w:u w:val="single"/>
              </w:rPr>
              <w:t>Supporting America’s Innovators Act of 2017</w:t>
            </w:r>
          </w:p>
          <w:p w:rsidR="009C0989" w:rsidRDefault="000B523B" w:rsidP="00014231">
            <w:pPr>
              <w:pStyle w:val="ListParagraph"/>
              <w:numPr>
                <w:ilvl w:val="0"/>
                <w:numId w:val="1"/>
              </w:numPr>
            </w:pPr>
            <w:r w:rsidRPr="003E5D7E">
              <w:rPr>
                <w:b/>
                <w:bCs/>
              </w:rPr>
              <w:t xml:space="preserve">Background: </w:t>
            </w:r>
            <w:r w:rsidR="009C0989">
              <w:rPr>
                <w:bCs/>
              </w:rPr>
              <w:t>Currently,</w:t>
            </w:r>
            <w:r w:rsidR="009C0989" w:rsidRPr="009C0989">
              <w:t xml:space="preserve"> the U.S. Securities and Exchange Commission’s (SEC)</w:t>
            </w:r>
            <w:r w:rsidR="00014231">
              <w:t xml:space="preserve"> has a</w:t>
            </w:r>
            <w:r w:rsidR="009C0989" w:rsidRPr="009C0989">
              <w:t xml:space="preserve"> limit of 100 accredited investors before a fund is required to spend the time and money registering with the agency.</w:t>
            </w:r>
            <w:r w:rsidR="009C0989">
              <w:t xml:space="preserve"> </w:t>
            </w:r>
            <w:r w:rsidR="009C0989" w:rsidRPr="009C0989">
              <w:t>Supporting Am</w:t>
            </w:r>
            <w:r w:rsidR="00014231">
              <w:t>erica’s Innovators Act seeks to raise</w:t>
            </w:r>
            <w:r w:rsidR="009C0989" w:rsidRPr="009C0989">
              <w:t xml:space="preserve"> the ceiling of accredited investors’ venture capital funds can acquire from 100 to 250 befor</w:t>
            </w:r>
            <w:r w:rsidR="00014231">
              <w:t xml:space="preserve">e SEC registration is required. </w:t>
            </w:r>
            <w:r w:rsidR="00014231" w:rsidRPr="00014231">
              <w:t>The expansion of investors for venture capital-type funds would help provide greater access to capital for American small businesses, and will allow more accredited investors to participate in venture investments in small businesses.</w:t>
            </w:r>
          </w:p>
          <w:p w:rsidR="009C0989" w:rsidRDefault="009C0989" w:rsidP="00014231"/>
          <w:p w:rsidR="000B523B" w:rsidRPr="003E5D7E" w:rsidRDefault="000B523B" w:rsidP="000B523B">
            <w:r w:rsidRPr="003E5D7E">
              <w:rPr>
                <w:b/>
                <w:bCs/>
              </w:rPr>
              <w:lastRenderedPageBreak/>
              <w:t>Heller</w:t>
            </w:r>
            <w:r w:rsidR="009C0989">
              <w:t>-</w:t>
            </w:r>
            <w:r w:rsidR="009C0989" w:rsidRPr="009C0989">
              <w:rPr>
                <w:b/>
                <w:bCs/>
              </w:rPr>
              <w:t>Heitkamp-Donnelly-Toomey</w:t>
            </w:r>
            <w:r w:rsidRPr="003E5D7E">
              <w:rPr>
                <w:b/>
                <w:bCs/>
              </w:rPr>
              <w:t xml:space="preserve"> bill</w:t>
            </w:r>
            <w:r>
              <w:rPr>
                <w:b/>
                <w:bCs/>
              </w:rPr>
              <w:t xml:space="preserve"> </w:t>
            </w:r>
            <w:hyperlink r:id="rId9" w:history="1">
              <w:r w:rsidRPr="000724FF">
                <w:rPr>
                  <w:rStyle w:val="Hyperlink"/>
                  <w:b/>
                  <w:bCs/>
                </w:rPr>
                <w:t xml:space="preserve">S. </w:t>
              </w:r>
              <w:r w:rsidR="009C0989" w:rsidRPr="000724FF">
                <w:rPr>
                  <w:rStyle w:val="Hyperlink"/>
                  <w:b/>
                  <w:bCs/>
                </w:rPr>
                <w:t>462</w:t>
              </w:r>
            </w:hyperlink>
            <w:r>
              <w:rPr>
                <w:b/>
                <w:bCs/>
              </w:rPr>
              <w:t>,</w:t>
            </w:r>
            <w:r w:rsidRPr="003E5D7E">
              <w:rPr>
                <w:b/>
                <w:bCs/>
              </w:rPr>
              <w:t xml:space="preserve"> </w:t>
            </w:r>
            <w:r w:rsidR="0057187C" w:rsidRPr="00B56DF6">
              <w:rPr>
                <w:u w:val="single"/>
              </w:rPr>
              <w:t>Securities and Exchange Commission Overpayment Credit Act</w:t>
            </w:r>
          </w:p>
          <w:p w:rsidR="000B523B" w:rsidRPr="003E5D7E" w:rsidRDefault="000B523B" w:rsidP="004E6242">
            <w:pPr>
              <w:pStyle w:val="ListParagraph"/>
              <w:numPr>
                <w:ilvl w:val="0"/>
                <w:numId w:val="1"/>
              </w:numPr>
            </w:pPr>
            <w:r w:rsidRPr="003E5D7E">
              <w:rPr>
                <w:b/>
                <w:bCs/>
              </w:rPr>
              <w:t xml:space="preserve">Background: </w:t>
            </w:r>
            <w:r w:rsidR="0057187C" w:rsidRPr="0057187C">
              <w:t>Currently, the Securities and Exchange Commission (SEC) must collect fees from national securities exchanges and other self-regulatory organizations (SROs) for the cost of supervising and regulating transactions</w:t>
            </w:r>
            <w:r w:rsidR="00967A10">
              <w:t>.</w:t>
            </w:r>
            <w:r w:rsidR="004E6242">
              <w:t xml:space="preserve"> T</w:t>
            </w:r>
            <w:r w:rsidR="0057187C" w:rsidRPr="0057187C">
              <w:t xml:space="preserve">he SEC </w:t>
            </w:r>
            <w:r w:rsidR="00014231">
              <w:t>often receives overpayments from national security e</w:t>
            </w:r>
            <w:r w:rsidR="0057187C" w:rsidRPr="0057187C">
              <w:t>xchanges</w:t>
            </w:r>
            <w:r w:rsidR="00014231">
              <w:t xml:space="preserve"> and SROs</w:t>
            </w:r>
            <w:r w:rsidR="00967A10">
              <w:t xml:space="preserve"> in order to avoid possible underpayment</w:t>
            </w:r>
            <w:r w:rsidR="0057187C" w:rsidRPr="0057187C">
              <w:t xml:space="preserve">. Over the last several years, the SEC has accumulated </w:t>
            </w:r>
            <w:r w:rsidR="00014231">
              <w:t>several millions</w:t>
            </w:r>
            <w:r w:rsidR="0057187C" w:rsidRPr="0057187C">
              <w:t xml:space="preserve"> in overpayment fees from national securities exchanges and SROs. The Securities and Exchange Commission Overpayment Credit Act resolves this problem by allowing the SEC to provide credit to national securities exchanges and SROs that have overpaid fees and assessment balances by offsetting future payment requirements.</w:t>
            </w:r>
          </w:p>
          <w:p w:rsidR="000B523B" w:rsidRPr="003E5D7E" w:rsidRDefault="000B523B" w:rsidP="000B523B"/>
          <w:p w:rsidR="000B523B" w:rsidRPr="003E5D7E" w:rsidRDefault="000B523B" w:rsidP="00255946">
            <w:pPr>
              <w:jc w:val="center"/>
            </w:pPr>
            <w:r w:rsidRPr="003E5D7E">
              <w:t>###</w:t>
            </w:r>
          </w:p>
          <w:p w:rsidR="000B523B" w:rsidRPr="00FF4992" w:rsidRDefault="000B523B" w:rsidP="00255946">
            <w:pPr>
              <w:jc w:val="center"/>
            </w:pPr>
          </w:p>
          <w:p w:rsidR="000B523B" w:rsidRDefault="000B523B" w:rsidP="00255946">
            <w:pPr>
              <w:jc w:val="center"/>
              <w:rPr>
                <w:b/>
              </w:rPr>
            </w:pPr>
            <w:r>
              <w:rPr>
                <w:noProof/>
                <w:color w:val="0000FF"/>
              </w:rPr>
              <w:drawing>
                <wp:inline distT="0" distB="0" distL="0" distR="0" wp14:anchorId="34C87ACB" wp14:editId="0A1B8DFF">
                  <wp:extent cx="327660" cy="327660"/>
                  <wp:effectExtent l="0" t="0" r="0" b="0"/>
                  <wp:docPr id="6" name="Picture 6" descr="cid:image005.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5E2337B7" wp14:editId="081D5DA5">
                  <wp:extent cx="327660" cy="327660"/>
                  <wp:effectExtent l="0" t="0" r="0" b="0"/>
                  <wp:docPr id="7" name="Picture 7" descr="cid:image006.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699E4793" wp14:editId="782CBAED">
                  <wp:extent cx="327660" cy="327660"/>
                  <wp:effectExtent l="0" t="0" r="0" b="0"/>
                  <wp:docPr id="8" name="Picture 8" descr="cid:image007.png@01D15EA3.CEBDCB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0B523B" w:rsidRPr="006D0E64" w:rsidRDefault="000B523B" w:rsidP="00255946">
            <w:pPr>
              <w:jc w:val="center"/>
              <w:rPr>
                <w:b/>
              </w:rPr>
            </w:pPr>
          </w:p>
        </w:tc>
      </w:tr>
    </w:tbl>
    <w:p w:rsidR="000B523B" w:rsidRDefault="000B523B" w:rsidP="000B523B"/>
    <w:p w:rsidR="000B523B" w:rsidRDefault="000B523B" w:rsidP="000B523B"/>
    <w:p w:rsidR="000B523B" w:rsidRDefault="000B523B" w:rsidP="000B523B"/>
    <w:p w:rsidR="000B523B" w:rsidRDefault="000B523B" w:rsidP="000B523B"/>
    <w:p w:rsidR="000B523B" w:rsidRDefault="000B523B" w:rsidP="000B523B"/>
    <w:p w:rsidR="000B523B" w:rsidRDefault="000B523B" w:rsidP="000B523B"/>
    <w:p w:rsidR="00F15FE5" w:rsidRDefault="00F15FE5"/>
    <w:sectPr w:rsidR="00F1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5071"/>
    <w:multiLevelType w:val="hybridMultilevel"/>
    <w:tmpl w:val="82C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3B"/>
    <w:rsid w:val="00014231"/>
    <w:rsid w:val="000724FF"/>
    <w:rsid w:val="000B523B"/>
    <w:rsid w:val="00120D88"/>
    <w:rsid w:val="00162D8A"/>
    <w:rsid w:val="00190E8B"/>
    <w:rsid w:val="002617BF"/>
    <w:rsid w:val="0032409F"/>
    <w:rsid w:val="00390A83"/>
    <w:rsid w:val="004E6242"/>
    <w:rsid w:val="0057187C"/>
    <w:rsid w:val="007D24E4"/>
    <w:rsid w:val="008A1677"/>
    <w:rsid w:val="00945F35"/>
    <w:rsid w:val="0095498C"/>
    <w:rsid w:val="00967A10"/>
    <w:rsid w:val="009C0989"/>
    <w:rsid w:val="00A65F6B"/>
    <w:rsid w:val="00B56DF6"/>
    <w:rsid w:val="00BE1BF8"/>
    <w:rsid w:val="00CF70F4"/>
    <w:rsid w:val="00EC6A4E"/>
    <w:rsid w:val="00F1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BE20-AC7F-4067-BAD2-C2D2F38D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3B"/>
    <w:rPr>
      <w:color w:val="0563C1" w:themeColor="hyperlink"/>
      <w:u w:val="single"/>
    </w:rPr>
  </w:style>
  <w:style w:type="table" w:styleId="TableGrid">
    <w:name w:val="Table Grid"/>
    <w:basedOn w:val="TableNormal"/>
    <w:uiPriority w:val="59"/>
    <w:rsid w:val="000B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23B"/>
    <w:pPr>
      <w:ind w:left="720"/>
      <w:contextualSpacing/>
    </w:pPr>
  </w:style>
  <w:style w:type="paragraph" w:styleId="BalloonText">
    <w:name w:val="Balloon Text"/>
    <w:basedOn w:val="Normal"/>
    <w:link w:val="BalloonTextChar"/>
    <w:uiPriority w:val="99"/>
    <w:semiHidden/>
    <w:unhideWhenUsed/>
    <w:rsid w:val="00945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3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72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139">
      <w:bodyDiv w:val="1"/>
      <w:marLeft w:val="0"/>
      <w:marRight w:val="0"/>
      <w:marTop w:val="0"/>
      <w:marBottom w:val="0"/>
      <w:divBdr>
        <w:top w:val="none" w:sz="0" w:space="0" w:color="auto"/>
        <w:left w:val="none" w:sz="0" w:space="0" w:color="auto"/>
        <w:bottom w:val="none" w:sz="0" w:space="0" w:color="auto"/>
        <w:right w:val="none" w:sz="0" w:space="0" w:color="auto"/>
      </w:divBdr>
    </w:div>
    <w:div w:id="962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senate-bill/444" TargetMode="External"/><Relationship Id="rId13" Type="http://schemas.openxmlformats.org/officeDocument/2006/relationships/hyperlink" Target="http://twitter.com/SenDeanHeller" TargetMode="External"/><Relationship Id="rId18" Type="http://schemas.openxmlformats.org/officeDocument/2006/relationships/image" Target="cid:image007.png@01D15EA3.CEBDCB00" TargetMode="External"/><Relationship Id="rId3" Type="http://schemas.openxmlformats.org/officeDocument/2006/relationships/settings" Target="settings.xml"/><Relationship Id="rId7" Type="http://schemas.openxmlformats.org/officeDocument/2006/relationships/hyperlink" Target="https://www.congress.gov/bill/115th-congress/senate-bill/327/text" TargetMode="External"/><Relationship Id="rId12" Type="http://schemas.openxmlformats.org/officeDocument/2006/relationships/image" Target="cid:image005.png@01D15EA3.CEBDCB0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6.png@01D15EA3.CEBDCB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ress.gov/bill/115th-congress/senate-bill/462/text/is?overview=closed&amp;format=x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36</cp:revision>
  <cp:lastPrinted>2017-03-08T18:41:00Z</cp:lastPrinted>
  <dcterms:created xsi:type="dcterms:W3CDTF">2017-03-07T14:48:00Z</dcterms:created>
  <dcterms:modified xsi:type="dcterms:W3CDTF">2017-04-25T18:23:00Z</dcterms:modified>
</cp:coreProperties>
</file>