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21C39" w:rsidP="00FA6B47">
            <w:pPr>
              <w:jc w:val="center"/>
              <w:rPr>
                <w:rFonts w:ascii="Georgia" w:hAnsi="Georgia"/>
                <w:b/>
              </w:rPr>
            </w:pPr>
            <w:r>
              <w:rPr>
                <w:noProof/>
              </w:rPr>
              <w:drawing>
                <wp:inline distT="0" distB="0" distL="0" distR="0" wp14:anchorId="78E040BB" wp14:editId="4E203F6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41094" cy="791732"/>
                          </a:xfrm>
                          <a:prstGeom prst="rect">
                            <a:avLst/>
                          </a:prstGeom>
                        </pic:spPr>
                      </pic:pic>
                    </a:graphicData>
                  </a:graphic>
                </wp:inline>
              </w:drawing>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p>
              </w:tc>
            </w:tr>
            <w:tr w:rsidR="0057797F" w:rsidTr="0066285F">
              <w:tc>
                <w:tcPr>
                  <w:tcW w:w="4672" w:type="dxa"/>
                </w:tcPr>
                <w:p w:rsidR="0057797F" w:rsidRDefault="00A912C2" w:rsidP="000221E1">
                  <w:pPr>
                    <w:rPr>
                      <w:b/>
                    </w:rPr>
                  </w:pPr>
                  <w:r>
                    <w:t xml:space="preserve">April </w:t>
                  </w:r>
                  <w:r w:rsidR="000221E1">
                    <w:t>20</w:t>
                  </w:r>
                  <w:r w:rsidR="00F750D7">
                    <w:t>, 2016</w:t>
                  </w:r>
                </w:p>
              </w:tc>
              <w:tc>
                <w:tcPr>
                  <w:tcW w:w="4673" w:type="dxa"/>
                </w:tcPr>
                <w:p w:rsidR="0057797F" w:rsidRDefault="0066285F" w:rsidP="0066285F">
                  <w:pPr>
                    <w:jc w:val="right"/>
                    <w:rPr>
                      <w:b/>
                    </w:rPr>
                  </w:pPr>
                  <w:r w:rsidRPr="0033010E">
                    <w:t>202-224-6244</w:t>
                  </w:r>
                </w:p>
              </w:tc>
            </w:tr>
          </w:tbl>
          <w:p w:rsidR="004F1FFC" w:rsidRDefault="004F1FFC" w:rsidP="004F1FFC">
            <w:pPr>
              <w:jc w:val="center"/>
              <w:rPr>
                <w:b/>
                <w:bCs/>
                <w:sz w:val="36"/>
                <w:szCs w:val="36"/>
              </w:rPr>
            </w:pPr>
          </w:p>
          <w:p w:rsidR="00286B60" w:rsidRPr="00286B60" w:rsidRDefault="00286B60" w:rsidP="00286B60">
            <w:pPr>
              <w:jc w:val="center"/>
              <w:rPr>
                <w:b/>
                <w:bCs/>
                <w:sz w:val="36"/>
                <w:szCs w:val="36"/>
              </w:rPr>
            </w:pPr>
            <w:r w:rsidRPr="00286B60">
              <w:rPr>
                <w:b/>
                <w:bCs/>
                <w:sz w:val="36"/>
                <w:szCs w:val="36"/>
              </w:rPr>
              <w:t xml:space="preserve">Heller </w:t>
            </w:r>
            <w:r w:rsidR="003B5388">
              <w:rPr>
                <w:b/>
                <w:bCs/>
                <w:sz w:val="36"/>
                <w:szCs w:val="36"/>
              </w:rPr>
              <w:t xml:space="preserve">Amendments </w:t>
            </w:r>
            <w:r w:rsidRPr="00286B60">
              <w:rPr>
                <w:b/>
                <w:bCs/>
                <w:sz w:val="36"/>
                <w:szCs w:val="36"/>
              </w:rPr>
              <w:t>Protect Taxpayers from Fraud and ID Theft</w:t>
            </w:r>
            <w:r>
              <w:rPr>
                <w:b/>
                <w:bCs/>
                <w:sz w:val="36"/>
                <w:szCs w:val="36"/>
              </w:rPr>
              <w:t xml:space="preserve"> While Holding IRS Accountable</w:t>
            </w:r>
            <w:r w:rsidRPr="00286B60">
              <w:rPr>
                <w:b/>
                <w:bCs/>
                <w:sz w:val="36"/>
                <w:szCs w:val="36"/>
              </w:rPr>
              <w:t xml:space="preserve"> </w:t>
            </w:r>
          </w:p>
          <w:p w:rsidR="00286B60" w:rsidRPr="00286B60" w:rsidRDefault="00286B60" w:rsidP="00286B60">
            <w:pPr>
              <w:jc w:val="center"/>
              <w:rPr>
                <w:rFonts w:ascii="Calibri" w:hAnsi="Calibri"/>
                <w:i/>
                <w:iCs/>
              </w:rPr>
            </w:pPr>
          </w:p>
          <w:p w:rsidR="00286B60" w:rsidRPr="007E10A1" w:rsidRDefault="00286B60" w:rsidP="00286B60">
            <w:pPr>
              <w:rPr>
                <w:sz w:val="22"/>
                <w:szCs w:val="22"/>
                <w:shd w:val="clear" w:color="auto" w:fill="FFFFFF"/>
              </w:rPr>
            </w:pPr>
            <w:r w:rsidRPr="00286B60">
              <w:rPr>
                <w:b/>
                <w:bCs/>
              </w:rPr>
              <w:t>(Washington, DC)</w:t>
            </w:r>
            <w:r w:rsidRPr="00286B60">
              <w:t xml:space="preserve"> </w:t>
            </w:r>
            <w:r w:rsidRPr="007E10A1">
              <w:t>–</w:t>
            </w:r>
            <w:r w:rsidRPr="007E10A1">
              <w:rPr>
                <w:shd w:val="clear" w:color="auto" w:fill="FFFFFF"/>
              </w:rPr>
              <w:t xml:space="preserve"> Today, the Senate Finance Committee approved two bills, which included several priorities helping Nevadan taxpayers from U.S. Senator Dean Heller (R-NV). T</w:t>
            </w:r>
            <w:r w:rsidR="00DF0AED">
              <w:rPr>
                <w:shd w:val="clear" w:color="auto" w:fill="FFFFFF"/>
              </w:rPr>
              <w:t>he</w:t>
            </w:r>
            <w:r w:rsidRPr="007E10A1">
              <w:rPr>
                <w:shd w:val="clear" w:color="auto" w:fill="FFFFFF"/>
              </w:rPr>
              <w:t xml:space="preserve"> bills were considered </w:t>
            </w:r>
            <w:r w:rsidR="007E10A1">
              <w:rPr>
                <w:shd w:val="clear" w:color="auto" w:fill="FFFFFF"/>
              </w:rPr>
              <w:t xml:space="preserve">by the Finance Committee </w:t>
            </w:r>
            <w:r w:rsidRPr="007E10A1">
              <w:rPr>
                <w:shd w:val="clear" w:color="auto" w:fill="FFFFFF"/>
              </w:rPr>
              <w:t xml:space="preserve">and several of Senator Heller’s legislative </w:t>
            </w:r>
            <w:r w:rsidR="0084681E">
              <w:rPr>
                <w:shd w:val="clear" w:color="auto" w:fill="FFFFFF"/>
              </w:rPr>
              <w:t>priorities</w:t>
            </w:r>
            <w:r w:rsidRPr="007E10A1">
              <w:rPr>
                <w:shd w:val="clear" w:color="auto" w:fill="FFFFFF"/>
              </w:rPr>
              <w:t xml:space="preserve"> were included within the Chairman’s mark. The bills were: a bill to Prevent Identity Theft and Tax Refund Fraud and a bill on the Taxpayer Protection Act. As a member of the Senate Committee on Finance, Senator Heller has worked closely with Chairman Orrin Hatch (R-UT) on developing and implementing proposals to protect Nevadan taxpayers from fraud, as well as continue holding the IRS accountable. </w:t>
            </w:r>
          </w:p>
          <w:p w:rsidR="00286B60" w:rsidRPr="007E10A1" w:rsidRDefault="00286B60" w:rsidP="00286B60">
            <w:pPr>
              <w:rPr>
                <w:shd w:val="clear" w:color="auto" w:fill="FFFFFF"/>
              </w:rPr>
            </w:pPr>
          </w:p>
          <w:p w:rsidR="00286B60" w:rsidRPr="007E10A1" w:rsidRDefault="00286B60" w:rsidP="00286B60">
            <w:pPr>
              <w:rPr>
                <w:b/>
                <w:bCs/>
                <w:sz w:val="22"/>
                <w:szCs w:val="22"/>
                <w:shd w:val="clear" w:color="auto" w:fill="FFFFFF"/>
              </w:rPr>
            </w:pPr>
            <w:r w:rsidRPr="007E10A1">
              <w:rPr>
                <w:shd w:val="clear" w:color="auto" w:fill="FFFFFF"/>
              </w:rPr>
              <w:t xml:space="preserve">“Unfortunately, every minute of the day, nineteen people become victims of identity theft. It is one of the fastest growing crimes in the country with almost ten million incidents occurring each year. Last year, over 14,000 Nevadan taxpayers were personally affected. As identity thieves become more sophisticated, the IRS must increase their security protections for every taxpayer. </w:t>
            </w:r>
            <w:r w:rsidR="003B5388" w:rsidRPr="007E10A1">
              <w:rPr>
                <w:shd w:val="clear" w:color="auto" w:fill="FFFFFF"/>
              </w:rPr>
              <w:t>That’s why I offered amendments to combat fraud against the IRS and was pleased to see them included in the Chairman’s Mark for the Identity Theft bill.</w:t>
            </w:r>
            <w:r w:rsidRPr="007E10A1">
              <w:rPr>
                <w:shd w:val="clear" w:color="auto" w:fill="FFFFFF"/>
              </w:rPr>
              <w:t xml:space="preserve"> I was also pleased to see amendments addressing IRS accountability included within the Chairman’s Mark for the Taxpayer’s Protection Act</w:t>
            </w:r>
            <w:r w:rsidRPr="007E10A1">
              <w:rPr>
                <w:shd w:val="clear" w:color="auto" w:fill="FFFFFF"/>
              </w:rPr>
              <w:t>,</w:t>
            </w:r>
            <w:r w:rsidRPr="007E10A1">
              <w:rPr>
                <w:shd w:val="clear" w:color="auto" w:fill="FFFFFF"/>
              </w:rPr>
              <w:t xml:space="preserve">” said </w:t>
            </w:r>
            <w:r w:rsidRPr="007E10A1">
              <w:rPr>
                <w:b/>
                <w:bCs/>
                <w:shd w:val="clear" w:color="auto" w:fill="FFFFFF"/>
              </w:rPr>
              <w:t xml:space="preserve">Senator Dean Heller. </w:t>
            </w:r>
          </w:p>
          <w:p w:rsidR="00286B60" w:rsidRPr="007E10A1" w:rsidRDefault="00286B60" w:rsidP="00286B60">
            <w:pPr>
              <w:rPr>
                <w:b/>
                <w:bCs/>
                <w:shd w:val="clear" w:color="auto" w:fill="FFFFFF"/>
              </w:rPr>
            </w:pPr>
          </w:p>
          <w:tbl>
            <w:tblPr>
              <w:tblW w:w="0" w:type="auto"/>
              <w:tblCellMar>
                <w:left w:w="0" w:type="dxa"/>
                <w:right w:w="0" w:type="dxa"/>
              </w:tblCellMar>
              <w:tblLook w:val="04A0" w:firstRow="1" w:lastRow="0" w:firstColumn="1" w:lastColumn="0" w:noHBand="0" w:noVBand="1"/>
            </w:tblPr>
            <w:tblGrid>
              <w:gridCol w:w="9345"/>
            </w:tblGrid>
            <w:tr w:rsidR="007E10A1" w:rsidRPr="007E10A1" w:rsidTr="00286B60">
              <w:tc>
                <w:tcPr>
                  <w:tcW w:w="9345" w:type="dxa"/>
                  <w:tcMar>
                    <w:top w:w="0" w:type="dxa"/>
                    <w:left w:w="108" w:type="dxa"/>
                    <w:bottom w:w="0" w:type="dxa"/>
                    <w:right w:w="108" w:type="dxa"/>
                  </w:tcMar>
                </w:tcPr>
                <w:p w:rsidR="00286B60" w:rsidRPr="007E10A1" w:rsidRDefault="00286B60" w:rsidP="00286B60">
                  <w:pPr>
                    <w:spacing w:line="276" w:lineRule="auto"/>
                    <w:rPr>
                      <w:b/>
                      <w:bCs/>
                      <w:u w:val="single"/>
                    </w:rPr>
                  </w:pPr>
                </w:p>
                <w:p w:rsidR="00286B60" w:rsidRPr="007E10A1" w:rsidRDefault="00286B60" w:rsidP="00286B60">
                  <w:pPr>
                    <w:spacing w:line="276" w:lineRule="auto"/>
                    <w:rPr>
                      <w:b/>
                      <w:bCs/>
                      <w:u w:val="single"/>
                    </w:rPr>
                  </w:pPr>
                  <w:r w:rsidRPr="007E10A1">
                    <w:rPr>
                      <w:b/>
                      <w:bCs/>
                      <w:u w:val="single"/>
                    </w:rPr>
                    <w:t>Background Information on Senator Heller’s Legislative Modifications:</w:t>
                  </w:r>
                </w:p>
                <w:p w:rsidR="00286B60" w:rsidRPr="007E10A1" w:rsidRDefault="00286B60" w:rsidP="00286B60">
                  <w:pPr>
                    <w:spacing w:line="276" w:lineRule="auto"/>
                    <w:rPr>
                      <w:b/>
                      <w:bCs/>
                      <w:u w:val="single"/>
                    </w:rPr>
                  </w:pPr>
                </w:p>
                <w:p w:rsidR="00286B60" w:rsidRPr="007E10A1" w:rsidRDefault="00286B60" w:rsidP="00286B60">
                  <w:pPr>
                    <w:autoSpaceDE w:val="0"/>
                    <w:autoSpaceDN w:val="0"/>
                    <w:spacing w:line="276" w:lineRule="auto"/>
                    <w:rPr>
                      <w:b/>
                      <w:bCs/>
                    </w:rPr>
                  </w:pPr>
                  <w:r w:rsidRPr="007E10A1">
                    <w:t>The Heller amendment included in the identity theft bill w</w:t>
                  </w:r>
                  <w:r w:rsidRPr="007E10A1">
                    <w:rPr>
                      <w:shd w:val="clear" w:color="auto" w:fill="FFFFFF"/>
                    </w:rPr>
                    <w:t xml:space="preserve">ould promote education and outreach on identity theft to vulnerable taxpayers, while also assessing ways to strengthen security features for those taxpayers who e-file their tax return. </w:t>
                  </w:r>
                </w:p>
                <w:p w:rsidR="00286B60" w:rsidRPr="007E10A1" w:rsidRDefault="00286B60" w:rsidP="00286B60">
                  <w:pPr>
                    <w:spacing w:line="276" w:lineRule="auto"/>
                    <w:rPr>
                      <w:shd w:val="clear" w:color="auto" w:fill="FFFFFF"/>
                    </w:rPr>
                  </w:pPr>
                </w:p>
                <w:p w:rsidR="00286B60" w:rsidRPr="007E10A1" w:rsidRDefault="00286B60" w:rsidP="00286B60">
                  <w:pPr>
                    <w:spacing w:line="276" w:lineRule="auto"/>
                    <w:rPr>
                      <w:shd w:val="clear" w:color="auto" w:fill="FFFFFF"/>
                    </w:rPr>
                  </w:pPr>
                  <w:r w:rsidRPr="007E10A1">
                    <w:rPr>
                      <w:shd w:val="clear" w:color="auto" w:fill="FFFFFF"/>
                    </w:rPr>
                    <w:t xml:space="preserve">The Heller amendment included in the Taxpayer Protection Act addresses the following: the IRS is currently developing a “Future State,” which would generally transition the IRS to a largely online service. The IRS has said it would still provide in person or telephone services to those taxpayers who prefer that. Lawmakers and the public know very little about this “Future State.” This amendment would hold the IRS accountable to </w:t>
                  </w:r>
                  <w:r w:rsidRPr="007E10A1">
                    <w:rPr>
                      <w:shd w:val="clear" w:color="auto" w:fill="FFFFFF"/>
                    </w:rPr>
                    <w:t>its</w:t>
                  </w:r>
                  <w:r w:rsidRPr="007E10A1">
                    <w:rPr>
                      <w:shd w:val="clear" w:color="auto" w:fill="FFFFFF"/>
                    </w:rPr>
                    <w:t xml:space="preserve"> promise by requiring the IRS to provide public progress reports on its transition to a “Future State.”</w:t>
                  </w:r>
                </w:p>
                <w:p w:rsidR="00286B60" w:rsidRPr="007E10A1" w:rsidRDefault="00286B60" w:rsidP="00286B60">
                  <w:pPr>
                    <w:spacing w:line="276" w:lineRule="auto"/>
                    <w:rPr>
                      <w:shd w:val="clear" w:color="auto" w:fill="FFFFFF"/>
                    </w:rPr>
                  </w:pPr>
                </w:p>
                <w:p w:rsidR="00286B60" w:rsidRPr="007E10A1" w:rsidRDefault="00286B60" w:rsidP="00286B60">
                  <w:pPr>
                    <w:spacing w:line="276" w:lineRule="auto"/>
                    <w:rPr>
                      <w:shd w:val="clear" w:color="auto" w:fill="FFFFFF"/>
                    </w:rPr>
                  </w:pPr>
                  <w:r w:rsidRPr="007E10A1">
                    <w:rPr>
                      <w:shd w:val="clear" w:color="auto" w:fill="FFFFFF"/>
                    </w:rPr>
                    <w:t xml:space="preserve">An additional Heller amendment included in the Taxpayer Protection Act would require the IRS to give sufficient notice to Congress before closing a walk-in center or Taxpayer Assistance Centers (TACs). In states, such as Nevada, many taxpayers do not have access to the internet, much less trust federal agencies, such as the IRS. These taxpayers require and </w:t>
                  </w:r>
                  <w:r w:rsidRPr="007E10A1">
                    <w:rPr>
                      <w:shd w:val="clear" w:color="auto" w:fill="FFFFFF"/>
                    </w:rPr>
                    <w:lastRenderedPageBreak/>
                    <w:t xml:space="preserve">want in-person access to IRS facilities. This amendment would disallow the IRS from closing a walk-in facility without first reporting to Congress </w:t>
                  </w:r>
                  <w:r w:rsidRPr="007E10A1">
                    <w:rPr>
                      <w:u w:val="single"/>
                      <w:shd w:val="clear" w:color="auto" w:fill="FFFFFF"/>
                    </w:rPr>
                    <w:t>90</w:t>
                  </w:r>
                  <w:r w:rsidRPr="007E10A1">
                    <w:rPr>
                      <w:shd w:val="clear" w:color="auto" w:fill="FFFFFF"/>
                    </w:rPr>
                    <w:t xml:space="preserve"> d</w:t>
                  </w:r>
                  <w:r w:rsidRPr="007E10A1">
                    <w:rPr>
                      <w:shd w:val="clear" w:color="auto" w:fill="FFFFFF"/>
                    </w:rPr>
                    <w:t>ays in advance the reasons for the proposed closure and how taxpayers located in rural areas will be served in the event of the closing. Congressional lawmakers would be authorized to deny a closure, depending on facts and circumstances.</w:t>
                  </w:r>
                </w:p>
                <w:p w:rsidR="00286B60" w:rsidRPr="007E10A1" w:rsidRDefault="00286B60" w:rsidP="00286B60">
                  <w:pPr>
                    <w:spacing w:line="276" w:lineRule="auto"/>
                  </w:pPr>
                </w:p>
              </w:tc>
            </w:tr>
          </w:tbl>
          <w:p w:rsidR="001005C9" w:rsidRPr="00EE3219" w:rsidRDefault="001005C9" w:rsidP="001005C9">
            <w:pPr>
              <w:jc w:val="center"/>
            </w:pPr>
            <w:r w:rsidRPr="00EE3219">
              <w:t>###</w:t>
            </w:r>
          </w:p>
          <w:p w:rsidR="00830019" w:rsidRDefault="00830019" w:rsidP="00C22C05">
            <w:pPr>
              <w:jc w:val="center"/>
            </w:pPr>
          </w:p>
          <w:p w:rsidR="00C22C05" w:rsidRPr="00794A73" w:rsidRDefault="00C22C05" w:rsidP="00C22C05">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FC628B" w:rsidRPr="0033010E" w:rsidRDefault="00FC628B" w:rsidP="0057797F"/>
    <w:sectPr w:rsidR="00FC628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A0"/>
    <w:multiLevelType w:val="hybridMultilevel"/>
    <w:tmpl w:val="8C2E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0320E"/>
    <w:multiLevelType w:val="hybridMultilevel"/>
    <w:tmpl w:val="088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20D6"/>
    <w:multiLevelType w:val="hybridMultilevel"/>
    <w:tmpl w:val="D6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4F07"/>
    <w:multiLevelType w:val="hybridMultilevel"/>
    <w:tmpl w:val="CC4876F4"/>
    <w:lvl w:ilvl="0" w:tplc="0409000B">
      <w:start w:val="1"/>
      <w:numFmt w:val="bullet"/>
      <w:lvlText w:val=""/>
      <w:lvlJc w:val="left"/>
      <w:pPr>
        <w:ind w:left="720" w:hanging="360"/>
      </w:pPr>
      <w:rPr>
        <w:rFonts w:ascii="Wingdings" w:hAnsi="Wingdings" w:hint="default"/>
        <w:color w:val="000000"/>
        <w:sz w:val="27"/>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0031A"/>
    <w:multiLevelType w:val="hybridMultilevel"/>
    <w:tmpl w:val="B41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79CA"/>
    <w:multiLevelType w:val="hybridMultilevel"/>
    <w:tmpl w:val="C522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E0E9D"/>
    <w:multiLevelType w:val="hybridMultilevel"/>
    <w:tmpl w:val="8E08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3C6A4C"/>
    <w:multiLevelType w:val="hybridMultilevel"/>
    <w:tmpl w:val="6DF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410B39"/>
    <w:multiLevelType w:val="hybridMultilevel"/>
    <w:tmpl w:val="6E00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num>
  <w:num w:numId="5">
    <w:abstractNumId w:val="8"/>
  </w:num>
  <w:num w:numId="6">
    <w:abstractNumId w:val="18"/>
  </w:num>
  <w:num w:numId="7">
    <w:abstractNumId w:val="14"/>
  </w:num>
  <w:num w:numId="8">
    <w:abstractNumId w:val="11"/>
  </w:num>
  <w:num w:numId="9">
    <w:abstractNumId w:val="1"/>
  </w:num>
  <w:num w:numId="10">
    <w:abstractNumId w:val="6"/>
  </w:num>
  <w:num w:numId="11">
    <w:abstractNumId w:val="0"/>
  </w:num>
  <w:num w:numId="12">
    <w:abstractNumId w:val="0"/>
  </w:num>
  <w:num w:numId="13">
    <w:abstractNumId w:val="13"/>
  </w:num>
  <w:num w:numId="14">
    <w:abstractNumId w:val="10"/>
  </w:num>
  <w:num w:numId="15">
    <w:abstractNumId w:val="15"/>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2"/>
  </w:num>
  <w:num w:numId="20">
    <w:abstractNumId w:val="3"/>
  </w:num>
  <w:num w:numId="21">
    <w:abstractNumId w:val="16"/>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21E1"/>
    <w:rsid w:val="00026DAC"/>
    <w:rsid w:val="00026EB5"/>
    <w:rsid w:val="00034028"/>
    <w:rsid w:val="00050865"/>
    <w:rsid w:val="00062FC3"/>
    <w:rsid w:val="000656B9"/>
    <w:rsid w:val="00097FA6"/>
    <w:rsid w:val="000A3816"/>
    <w:rsid w:val="000B713E"/>
    <w:rsid w:val="000B7668"/>
    <w:rsid w:val="000D0A2A"/>
    <w:rsid w:val="000D395C"/>
    <w:rsid w:val="000F594E"/>
    <w:rsid w:val="000F7662"/>
    <w:rsid w:val="001005C9"/>
    <w:rsid w:val="00110E9E"/>
    <w:rsid w:val="00124C88"/>
    <w:rsid w:val="00153648"/>
    <w:rsid w:val="00154599"/>
    <w:rsid w:val="0016366B"/>
    <w:rsid w:val="001727B9"/>
    <w:rsid w:val="00176011"/>
    <w:rsid w:val="00180F52"/>
    <w:rsid w:val="0018486A"/>
    <w:rsid w:val="001E2F01"/>
    <w:rsid w:val="001F3DE0"/>
    <w:rsid w:val="001F723E"/>
    <w:rsid w:val="00223438"/>
    <w:rsid w:val="00226558"/>
    <w:rsid w:val="00226A57"/>
    <w:rsid w:val="002270F9"/>
    <w:rsid w:val="00234D19"/>
    <w:rsid w:val="00252CF1"/>
    <w:rsid w:val="00253CAF"/>
    <w:rsid w:val="00267861"/>
    <w:rsid w:val="002861DD"/>
    <w:rsid w:val="00286B60"/>
    <w:rsid w:val="002A044A"/>
    <w:rsid w:val="002A0548"/>
    <w:rsid w:val="002A0D6A"/>
    <w:rsid w:val="002A6A8E"/>
    <w:rsid w:val="002B01F7"/>
    <w:rsid w:val="002B3923"/>
    <w:rsid w:val="002B62D0"/>
    <w:rsid w:val="002D17D2"/>
    <w:rsid w:val="002D717D"/>
    <w:rsid w:val="002E477F"/>
    <w:rsid w:val="002E56B0"/>
    <w:rsid w:val="002E76FB"/>
    <w:rsid w:val="002E7A43"/>
    <w:rsid w:val="002F6D67"/>
    <w:rsid w:val="00306864"/>
    <w:rsid w:val="0032559D"/>
    <w:rsid w:val="00326FDA"/>
    <w:rsid w:val="0033010E"/>
    <w:rsid w:val="003347A2"/>
    <w:rsid w:val="0033597E"/>
    <w:rsid w:val="00336B25"/>
    <w:rsid w:val="00342362"/>
    <w:rsid w:val="00343A41"/>
    <w:rsid w:val="00365DC2"/>
    <w:rsid w:val="003A218D"/>
    <w:rsid w:val="003B5388"/>
    <w:rsid w:val="003B5DDB"/>
    <w:rsid w:val="003B7C0A"/>
    <w:rsid w:val="003C4208"/>
    <w:rsid w:val="003E17B9"/>
    <w:rsid w:val="003E4AA7"/>
    <w:rsid w:val="004017E9"/>
    <w:rsid w:val="00412640"/>
    <w:rsid w:val="00413C3D"/>
    <w:rsid w:val="00415058"/>
    <w:rsid w:val="00427039"/>
    <w:rsid w:val="0042722C"/>
    <w:rsid w:val="004311D9"/>
    <w:rsid w:val="0044150D"/>
    <w:rsid w:val="00446AD2"/>
    <w:rsid w:val="00451312"/>
    <w:rsid w:val="00470119"/>
    <w:rsid w:val="00477C17"/>
    <w:rsid w:val="0048738A"/>
    <w:rsid w:val="004B2C96"/>
    <w:rsid w:val="004C7FC9"/>
    <w:rsid w:val="004E6570"/>
    <w:rsid w:val="004F0F10"/>
    <w:rsid w:val="004F1FFC"/>
    <w:rsid w:val="004F62B8"/>
    <w:rsid w:val="00513013"/>
    <w:rsid w:val="00520D74"/>
    <w:rsid w:val="0052507B"/>
    <w:rsid w:val="00541CAE"/>
    <w:rsid w:val="00552260"/>
    <w:rsid w:val="00556B19"/>
    <w:rsid w:val="00563A9F"/>
    <w:rsid w:val="00571696"/>
    <w:rsid w:val="0057797F"/>
    <w:rsid w:val="00580E98"/>
    <w:rsid w:val="0059313C"/>
    <w:rsid w:val="005B5838"/>
    <w:rsid w:val="005C0224"/>
    <w:rsid w:val="005C70C5"/>
    <w:rsid w:val="005D1DB8"/>
    <w:rsid w:val="005E7837"/>
    <w:rsid w:val="0060386E"/>
    <w:rsid w:val="006542BE"/>
    <w:rsid w:val="00661FE9"/>
    <w:rsid w:val="0066285F"/>
    <w:rsid w:val="00667D0D"/>
    <w:rsid w:val="00667F94"/>
    <w:rsid w:val="00671297"/>
    <w:rsid w:val="006742C7"/>
    <w:rsid w:val="00675BEB"/>
    <w:rsid w:val="00676AEF"/>
    <w:rsid w:val="006913B9"/>
    <w:rsid w:val="006A576C"/>
    <w:rsid w:val="006C6BBB"/>
    <w:rsid w:val="006E1284"/>
    <w:rsid w:val="006F223B"/>
    <w:rsid w:val="006F6268"/>
    <w:rsid w:val="00703EBC"/>
    <w:rsid w:val="00720E5F"/>
    <w:rsid w:val="0072156E"/>
    <w:rsid w:val="00731484"/>
    <w:rsid w:val="00731B7F"/>
    <w:rsid w:val="00744DAF"/>
    <w:rsid w:val="00755C81"/>
    <w:rsid w:val="00762113"/>
    <w:rsid w:val="007637E1"/>
    <w:rsid w:val="00770B14"/>
    <w:rsid w:val="00773FC7"/>
    <w:rsid w:val="00780B54"/>
    <w:rsid w:val="00794A73"/>
    <w:rsid w:val="00796E45"/>
    <w:rsid w:val="0079714A"/>
    <w:rsid w:val="007A36B1"/>
    <w:rsid w:val="007B48F1"/>
    <w:rsid w:val="007D2437"/>
    <w:rsid w:val="007D5CFA"/>
    <w:rsid w:val="007E10A1"/>
    <w:rsid w:val="007E2DDD"/>
    <w:rsid w:val="0080185E"/>
    <w:rsid w:val="008032FB"/>
    <w:rsid w:val="00814669"/>
    <w:rsid w:val="00814F44"/>
    <w:rsid w:val="00821C39"/>
    <w:rsid w:val="00827203"/>
    <w:rsid w:val="00830019"/>
    <w:rsid w:val="00835BD3"/>
    <w:rsid w:val="0083707C"/>
    <w:rsid w:val="00837950"/>
    <w:rsid w:val="0084681E"/>
    <w:rsid w:val="00857A76"/>
    <w:rsid w:val="00860FBE"/>
    <w:rsid w:val="00871988"/>
    <w:rsid w:val="008753B5"/>
    <w:rsid w:val="00892D8A"/>
    <w:rsid w:val="00893FEA"/>
    <w:rsid w:val="008A58C4"/>
    <w:rsid w:val="008B2EE2"/>
    <w:rsid w:val="008D199D"/>
    <w:rsid w:val="008D68EF"/>
    <w:rsid w:val="008F2CA9"/>
    <w:rsid w:val="008F4F8F"/>
    <w:rsid w:val="008F7E41"/>
    <w:rsid w:val="00900274"/>
    <w:rsid w:val="0091536E"/>
    <w:rsid w:val="00925796"/>
    <w:rsid w:val="00930B58"/>
    <w:rsid w:val="00933D23"/>
    <w:rsid w:val="00943659"/>
    <w:rsid w:val="009938F1"/>
    <w:rsid w:val="00993919"/>
    <w:rsid w:val="009967C8"/>
    <w:rsid w:val="009A5285"/>
    <w:rsid w:val="009B33AB"/>
    <w:rsid w:val="009B4AFE"/>
    <w:rsid w:val="009B5026"/>
    <w:rsid w:val="009C0866"/>
    <w:rsid w:val="009E4B1E"/>
    <w:rsid w:val="00A01C78"/>
    <w:rsid w:val="00A1271C"/>
    <w:rsid w:val="00A643AC"/>
    <w:rsid w:val="00A67144"/>
    <w:rsid w:val="00A74C55"/>
    <w:rsid w:val="00A7687A"/>
    <w:rsid w:val="00A81FC8"/>
    <w:rsid w:val="00A912C2"/>
    <w:rsid w:val="00A94312"/>
    <w:rsid w:val="00A949BA"/>
    <w:rsid w:val="00AA3C75"/>
    <w:rsid w:val="00AB044E"/>
    <w:rsid w:val="00AB3831"/>
    <w:rsid w:val="00AB3EAC"/>
    <w:rsid w:val="00AB729D"/>
    <w:rsid w:val="00AC687B"/>
    <w:rsid w:val="00AE0CB6"/>
    <w:rsid w:val="00B05E93"/>
    <w:rsid w:val="00B22A89"/>
    <w:rsid w:val="00B2742A"/>
    <w:rsid w:val="00B444AA"/>
    <w:rsid w:val="00B455A0"/>
    <w:rsid w:val="00B5047B"/>
    <w:rsid w:val="00B5157A"/>
    <w:rsid w:val="00B55F73"/>
    <w:rsid w:val="00B6711B"/>
    <w:rsid w:val="00B7693B"/>
    <w:rsid w:val="00B9355D"/>
    <w:rsid w:val="00BA51D5"/>
    <w:rsid w:val="00BA783A"/>
    <w:rsid w:val="00BC6DCA"/>
    <w:rsid w:val="00BD0DE2"/>
    <w:rsid w:val="00BE4859"/>
    <w:rsid w:val="00BF712C"/>
    <w:rsid w:val="00C013B3"/>
    <w:rsid w:val="00C04F94"/>
    <w:rsid w:val="00C22C05"/>
    <w:rsid w:val="00C26677"/>
    <w:rsid w:val="00C32674"/>
    <w:rsid w:val="00C3379E"/>
    <w:rsid w:val="00C41872"/>
    <w:rsid w:val="00C42B95"/>
    <w:rsid w:val="00C50AB3"/>
    <w:rsid w:val="00C55484"/>
    <w:rsid w:val="00C571F1"/>
    <w:rsid w:val="00C6094A"/>
    <w:rsid w:val="00C64C41"/>
    <w:rsid w:val="00C6754D"/>
    <w:rsid w:val="00C734AB"/>
    <w:rsid w:val="00C762FA"/>
    <w:rsid w:val="00C85D61"/>
    <w:rsid w:val="00C87DC9"/>
    <w:rsid w:val="00CA5C4E"/>
    <w:rsid w:val="00CB5DD5"/>
    <w:rsid w:val="00CC3C97"/>
    <w:rsid w:val="00CC5424"/>
    <w:rsid w:val="00CD4730"/>
    <w:rsid w:val="00CE1994"/>
    <w:rsid w:val="00CE769D"/>
    <w:rsid w:val="00D14576"/>
    <w:rsid w:val="00D27611"/>
    <w:rsid w:val="00D35FA5"/>
    <w:rsid w:val="00D605AF"/>
    <w:rsid w:val="00D93450"/>
    <w:rsid w:val="00DA1AFE"/>
    <w:rsid w:val="00DC15F3"/>
    <w:rsid w:val="00DC3E96"/>
    <w:rsid w:val="00DD5887"/>
    <w:rsid w:val="00DE3792"/>
    <w:rsid w:val="00DE45EF"/>
    <w:rsid w:val="00DE6BF4"/>
    <w:rsid w:val="00DF0AED"/>
    <w:rsid w:val="00DF4C21"/>
    <w:rsid w:val="00DF61CA"/>
    <w:rsid w:val="00DF7E96"/>
    <w:rsid w:val="00E04733"/>
    <w:rsid w:val="00E11FFF"/>
    <w:rsid w:val="00E20E10"/>
    <w:rsid w:val="00E24579"/>
    <w:rsid w:val="00E42841"/>
    <w:rsid w:val="00E61545"/>
    <w:rsid w:val="00E87ECF"/>
    <w:rsid w:val="00E96E81"/>
    <w:rsid w:val="00EA63E3"/>
    <w:rsid w:val="00ED3C0C"/>
    <w:rsid w:val="00ED47AC"/>
    <w:rsid w:val="00EE2AAF"/>
    <w:rsid w:val="00EE3219"/>
    <w:rsid w:val="00EF6BDD"/>
    <w:rsid w:val="00F010AB"/>
    <w:rsid w:val="00F02545"/>
    <w:rsid w:val="00F05C60"/>
    <w:rsid w:val="00F14F7B"/>
    <w:rsid w:val="00F15F71"/>
    <w:rsid w:val="00F24DD6"/>
    <w:rsid w:val="00F3536E"/>
    <w:rsid w:val="00F41322"/>
    <w:rsid w:val="00F41B50"/>
    <w:rsid w:val="00F45960"/>
    <w:rsid w:val="00F63DF1"/>
    <w:rsid w:val="00F750D7"/>
    <w:rsid w:val="00F869D9"/>
    <w:rsid w:val="00F87362"/>
    <w:rsid w:val="00F90EC4"/>
    <w:rsid w:val="00FA0CA6"/>
    <w:rsid w:val="00FA5680"/>
    <w:rsid w:val="00FA6B47"/>
    <w:rsid w:val="00FB0BA7"/>
    <w:rsid w:val="00FB2637"/>
    <w:rsid w:val="00FB61C6"/>
    <w:rsid w:val="00FC628B"/>
    <w:rsid w:val="00FC7136"/>
    <w:rsid w:val="00FD137C"/>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C22C05"/>
  </w:style>
  <w:style w:type="character" w:customStyle="1" w:styleId="fn">
    <w:name w:val="fn"/>
    <w:basedOn w:val="DefaultParagraphFont"/>
    <w:rsid w:val="0042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58279955">
      <w:bodyDiv w:val="1"/>
      <w:marLeft w:val="0"/>
      <w:marRight w:val="0"/>
      <w:marTop w:val="0"/>
      <w:marBottom w:val="0"/>
      <w:divBdr>
        <w:top w:val="none" w:sz="0" w:space="0" w:color="auto"/>
        <w:left w:val="none" w:sz="0" w:space="0" w:color="auto"/>
        <w:bottom w:val="none" w:sz="0" w:space="0" w:color="auto"/>
        <w:right w:val="none" w:sz="0" w:space="0" w:color="auto"/>
      </w:divBdr>
    </w:div>
    <w:div w:id="278609591">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13994901">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5523377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3636676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05169138">
      <w:bodyDiv w:val="1"/>
      <w:marLeft w:val="0"/>
      <w:marRight w:val="0"/>
      <w:marTop w:val="0"/>
      <w:marBottom w:val="0"/>
      <w:divBdr>
        <w:top w:val="none" w:sz="0" w:space="0" w:color="auto"/>
        <w:left w:val="none" w:sz="0" w:space="0" w:color="auto"/>
        <w:bottom w:val="none" w:sz="0" w:space="0" w:color="auto"/>
        <w:right w:val="none" w:sz="0" w:space="0" w:color="auto"/>
      </w:divBdr>
    </w:div>
    <w:div w:id="522205590">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6058637">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75157404">
      <w:bodyDiv w:val="1"/>
      <w:marLeft w:val="0"/>
      <w:marRight w:val="0"/>
      <w:marTop w:val="0"/>
      <w:marBottom w:val="0"/>
      <w:divBdr>
        <w:top w:val="none" w:sz="0" w:space="0" w:color="auto"/>
        <w:left w:val="none" w:sz="0" w:space="0" w:color="auto"/>
        <w:bottom w:val="none" w:sz="0" w:space="0" w:color="auto"/>
        <w:right w:val="none" w:sz="0" w:space="0" w:color="auto"/>
      </w:divBdr>
    </w:div>
    <w:div w:id="687365795">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773669350">
      <w:bodyDiv w:val="1"/>
      <w:marLeft w:val="0"/>
      <w:marRight w:val="0"/>
      <w:marTop w:val="0"/>
      <w:marBottom w:val="0"/>
      <w:divBdr>
        <w:top w:val="none" w:sz="0" w:space="0" w:color="auto"/>
        <w:left w:val="none" w:sz="0" w:space="0" w:color="auto"/>
        <w:bottom w:val="none" w:sz="0" w:space="0" w:color="auto"/>
        <w:right w:val="none" w:sz="0" w:space="0" w:color="auto"/>
      </w:divBdr>
    </w:div>
    <w:div w:id="796918973">
      <w:bodyDiv w:val="1"/>
      <w:marLeft w:val="0"/>
      <w:marRight w:val="0"/>
      <w:marTop w:val="0"/>
      <w:marBottom w:val="0"/>
      <w:divBdr>
        <w:top w:val="none" w:sz="0" w:space="0" w:color="auto"/>
        <w:left w:val="none" w:sz="0" w:space="0" w:color="auto"/>
        <w:bottom w:val="none" w:sz="0" w:space="0" w:color="auto"/>
        <w:right w:val="none" w:sz="0" w:space="0" w:color="auto"/>
      </w:divBdr>
    </w:div>
    <w:div w:id="823354166">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984167360">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sChild>
        <w:div w:id="1981685210">
          <w:marLeft w:val="0"/>
          <w:marRight w:val="0"/>
          <w:marTop w:val="0"/>
          <w:marBottom w:val="0"/>
          <w:divBdr>
            <w:top w:val="none" w:sz="0" w:space="0" w:color="auto"/>
            <w:left w:val="none" w:sz="0" w:space="0" w:color="auto"/>
            <w:bottom w:val="none" w:sz="0" w:space="0" w:color="auto"/>
            <w:right w:val="none" w:sz="0" w:space="0" w:color="auto"/>
          </w:divBdr>
        </w:div>
      </w:divsChild>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60463242">
      <w:bodyDiv w:val="1"/>
      <w:marLeft w:val="0"/>
      <w:marRight w:val="0"/>
      <w:marTop w:val="0"/>
      <w:marBottom w:val="0"/>
      <w:divBdr>
        <w:top w:val="none" w:sz="0" w:space="0" w:color="auto"/>
        <w:left w:val="none" w:sz="0" w:space="0" w:color="auto"/>
        <w:bottom w:val="none" w:sz="0" w:space="0" w:color="auto"/>
        <w:right w:val="none" w:sz="0" w:space="0" w:color="auto"/>
      </w:divBdr>
    </w:div>
    <w:div w:id="11736424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438">
          <w:marLeft w:val="0"/>
          <w:marRight w:val="0"/>
          <w:marTop w:val="0"/>
          <w:marBottom w:val="0"/>
          <w:divBdr>
            <w:top w:val="none" w:sz="0" w:space="0" w:color="auto"/>
            <w:left w:val="none" w:sz="0" w:space="0" w:color="auto"/>
            <w:bottom w:val="none" w:sz="0" w:space="0" w:color="auto"/>
            <w:right w:val="none" w:sz="0" w:space="0" w:color="auto"/>
          </w:divBdr>
        </w:div>
        <w:div w:id="139618770">
          <w:marLeft w:val="0"/>
          <w:marRight w:val="0"/>
          <w:marTop w:val="0"/>
          <w:marBottom w:val="0"/>
          <w:divBdr>
            <w:top w:val="none" w:sz="0" w:space="0" w:color="auto"/>
            <w:left w:val="none" w:sz="0" w:space="0" w:color="auto"/>
            <w:bottom w:val="none" w:sz="0" w:space="0" w:color="auto"/>
            <w:right w:val="none" w:sz="0" w:space="0" w:color="auto"/>
          </w:divBdr>
        </w:div>
      </w:divsChild>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31448195">
      <w:bodyDiv w:val="1"/>
      <w:marLeft w:val="0"/>
      <w:marRight w:val="0"/>
      <w:marTop w:val="0"/>
      <w:marBottom w:val="0"/>
      <w:divBdr>
        <w:top w:val="none" w:sz="0" w:space="0" w:color="auto"/>
        <w:left w:val="none" w:sz="0" w:space="0" w:color="auto"/>
        <w:bottom w:val="none" w:sz="0" w:space="0" w:color="auto"/>
        <w:right w:val="none" w:sz="0" w:space="0" w:color="auto"/>
      </w:divBdr>
      <w:divsChild>
        <w:div w:id="625163170">
          <w:marLeft w:val="0"/>
          <w:marRight w:val="0"/>
          <w:marTop w:val="0"/>
          <w:marBottom w:val="0"/>
          <w:divBdr>
            <w:top w:val="none" w:sz="0" w:space="0" w:color="auto"/>
            <w:left w:val="none" w:sz="0" w:space="0" w:color="auto"/>
            <w:bottom w:val="none" w:sz="0" w:space="0" w:color="auto"/>
            <w:right w:val="none" w:sz="0" w:space="0" w:color="auto"/>
          </w:divBdr>
        </w:div>
        <w:div w:id="1382705738">
          <w:marLeft w:val="0"/>
          <w:marRight w:val="0"/>
          <w:marTop w:val="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4990769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69270964">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11027862">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893034257">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1925263290">
      <w:bodyDiv w:val="1"/>
      <w:marLeft w:val="0"/>
      <w:marRight w:val="0"/>
      <w:marTop w:val="0"/>
      <w:marBottom w:val="0"/>
      <w:divBdr>
        <w:top w:val="none" w:sz="0" w:space="0" w:color="auto"/>
        <w:left w:val="none" w:sz="0" w:space="0" w:color="auto"/>
        <w:bottom w:val="none" w:sz="0" w:space="0" w:color="auto"/>
        <w:right w:val="none" w:sz="0" w:space="0" w:color="auto"/>
      </w:divBdr>
    </w:div>
    <w:div w:id="202998242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eal_patel@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07908.A11AC5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witter.com/SenDeanHelle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FED6-3B7E-4250-AD75-EDD6A05C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18</cp:revision>
  <cp:lastPrinted>2016-04-20T17:02:00Z</cp:lastPrinted>
  <dcterms:created xsi:type="dcterms:W3CDTF">2016-04-18T18:44:00Z</dcterms:created>
  <dcterms:modified xsi:type="dcterms:W3CDTF">2016-04-20T18:14:00Z</dcterms:modified>
</cp:coreProperties>
</file>