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C3" w:rsidRDefault="00314DCC">
      <w:bookmarkStart w:id="0" w:name="_GoBack"/>
      <w:r>
        <w:t xml:space="preserve">“These provisions, give parity for the solar industry that is important not only to my home state of </w:t>
      </w:r>
      <w:bookmarkEnd w:id="0"/>
      <w:r>
        <w:t xml:space="preserve">Nevada, but also to diversify our nation’s energy portfolio. No doubt, the opportunities for renewable energy production, specifically solar, are limitless and we must do everything within our power to unleash their potential – by placing solar on the same playing field, we will do just that,” said Senator Dean Heller.  </w:t>
      </w:r>
    </w:p>
    <w:sectPr w:rsidR="00AE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CC"/>
    <w:rsid w:val="00314DCC"/>
    <w:rsid w:val="00AE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EB130-6A47-45A8-9B3A-72A1B5B5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Michawn (Heller)</dc:creator>
  <cp:keywords/>
  <dc:description/>
  <cp:lastModifiedBy>Rich, Michawn (Heller)</cp:lastModifiedBy>
  <cp:revision>1</cp:revision>
  <dcterms:created xsi:type="dcterms:W3CDTF">2015-12-18T15:41:00Z</dcterms:created>
  <dcterms:modified xsi:type="dcterms:W3CDTF">2015-12-18T15:49:00Z</dcterms:modified>
</cp:coreProperties>
</file>