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6D0E64" w:rsidRDefault="0066285F" w:rsidP="0057797F">
                  <w:pPr>
                    <w:rPr>
                      <w:b/>
                    </w:rPr>
                  </w:pPr>
                  <w:r w:rsidRPr="006D0E64">
                    <w:rPr>
                      <w:b/>
                    </w:rPr>
                    <w:t>For Immediate Release:</w:t>
                  </w:r>
                </w:p>
              </w:tc>
              <w:tc>
                <w:tcPr>
                  <w:tcW w:w="4095" w:type="dxa"/>
                </w:tcPr>
                <w:p w:rsidR="0057797F" w:rsidRPr="006D0E64" w:rsidRDefault="0066285F" w:rsidP="00A80D96">
                  <w:pPr>
                    <w:jc w:val="right"/>
                    <w:rPr>
                      <w:b/>
                    </w:rPr>
                  </w:pPr>
                  <w:r w:rsidRPr="006D0E64">
                    <w:rPr>
                      <w:b/>
                    </w:rPr>
                    <w:t xml:space="preserve">Contact: </w:t>
                  </w:r>
                  <w:hyperlink r:id="rId6" w:history="1">
                    <w:r w:rsidR="00CE0CEA" w:rsidRPr="006D0E64">
                      <w:rPr>
                        <w:rStyle w:val="Hyperlink"/>
                      </w:rPr>
                      <w:t>Neal A. Patel</w:t>
                    </w:r>
                  </w:hyperlink>
                  <w:r w:rsidR="00CE0CEA">
                    <w:t xml:space="preserve"> </w:t>
                  </w:r>
                </w:p>
              </w:tc>
            </w:tr>
            <w:tr w:rsidR="0057797F" w:rsidRPr="006D0E64" w:rsidTr="00CE0CEA">
              <w:tc>
                <w:tcPr>
                  <w:tcW w:w="5085" w:type="dxa"/>
                </w:tcPr>
                <w:p w:rsidR="0057797F" w:rsidRPr="006D0E64" w:rsidRDefault="005B0691" w:rsidP="00BC75C3">
                  <w:pPr>
                    <w:rPr>
                      <w:b/>
                    </w:rPr>
                  </w:pPr>
                  <w:r>
                    <w:t>May 25</w:t>
                  </w:r>
                  <w:r w:rsidR="00C2084A">
                    <w:t>, 2016</w:t>
                  </w:r>
                </w:p>
              </w:tc>
              <w:tc>
                <w:tcPr>
                  <w:tcW w:w="4095" w:type="dxa"/>
                </w:tcPr>
                <w:p w:rsidR="0057797F" w:rsidRPr="006D0E64" w:rsidRDefault="00CE0CEA" w:rsidP="00CE0CEA">
                  <w:pPr>
                    <w:jc w:val="right"/>
                    <w:rPr>
                      <w:b/>
                    </w:rPr>
                  </w:pPr>
                  <w:r w:rsidRPr="006D0E64">
                    <w:t>202-224-6244</w:t>
                  </w:r>
                </w:p>
              </w:tc>
            </w:tr>
          </w:tbl>
          <w:p w:rsidR="005B0691" w:rsidRPr="005B0691" w:rsidRDefault="005B0691" w:rsidP="005B0691">
            <w:pPr>
              <w:spacing w:before="100" w:beforeAutospacing="1" w:after="100" w:afterAutospacing="1"/>
              <w:jc w:val="center"/>
              <w:rPr>
                <w:color w:val="000000"/>
                <w:sz w:val="32"/>
                <w:szCs w:val="32"/>
              </w:rPr>
            </w:pPr>
            <w:r>
              <w:rPr>
                <w:b/>
                <w:bCs/>
                <w:color w:val="000000"/>
                <w:sz w:val="32"/>
                <w:szCs w:val="32"/>
              </w:rPr>
              <w:t xml:space="preserve">Heller, Hatch, Coons </w:t>
            </w:r>
            <w:r w:rsidRPr="005B0691">
              <w:rPr>
                <w:b/>
                <w:bCs/>
                <w:color w:val="000000"/>
                <w:sz w:val="32"/>
                <w:szCs w:val="32"/>
              </w:rPr>
              <w:t>Introduce Bipartisan International Communications Privacy Act</w:t>
            </w:r>
          </w:p>
          <w:p w:rsidR="005B0691" w:rsidRDefault="00C2084A" w:rsidP="005B0691">
            <w:pPr>
              <w:spacing w:before="100" w:beforeAutospacing="1" w:after="100" w:afterAutospacing="1"/>
              <w:rPr>
                <w:color w:val="000000"/>
              </w:rPr>
            </w:pPr>
            <w:r w:rsidRPr="00574068">
              <w:rPr>
                <w:b/>
              </w:rPr>
              <w:t>(Washington</w:t>
            </w:r>
            <w:r>
              <w:rPr>
                <w:b/>
              </w:rPr>
              <w:t xml:space="preserve">, </w:t>
            </w:r>
            <w:r w:rsidRPr="00574068">
              <w:rPr>
                <w:b/>
              </w:rPr>
              <w:t>D</w:t>
            </w:r>
            <w:r>
              <w:rPr>
                <w:b/>
              </w:rPr>
              <w:t>C</w:t>
            </w:r>
            <w:r w:rsidRPr="00574068">
              <w:rPr>
                <w:b/>
              </w:rPr>
              <w:t>)</w:t>
            </w:r>
            <w:r>
              <w:rPr>
                <w:b/>
              </w:rPr>
              <w:t xml:space="preserve"> </w:t>
            </w:r>
            <w:r>
              <w:t xml:space="preserve">– </w:t>
            </w:r>
            <w:r w:rsidR="005B0691">
              <w:rPr>
                <w:color w:val="000000"/>
                <w:sz w:val="23"/>
                <w:szCs w:val="23"/>
              </w:rPr>
              <w:t>Today</w:t>
            </w:r>
            <w:r w:rsidR="00D503D4">
              <w:rPr>
                <w:color w:val="000000"/>
                <w:sz w:val="23"/>
                <w:szCs w:val="23"/>
              </w:rPr>
              <w:t xml:space="preserve"> U.S. Senators Dean Heller (R-NV), Orrin Hatch (</w:t>
            </w:r>
            <w:r w:rsidR="005B0691">
              <w:rPr>
                <w:color w:val="000000"/>
                <w:sz w:val="23"/>
                <w:szCs w:val="23"/>
              </w:rPr>
              <w:t>R-</w:t>
            </w:r>
            <w:r w:rsidR="00D503D4">
              <w:rPr>
                <w:color w:val="000000"/>
                <w:sz w:val="23"/>
                <w:szCs w:val="23"/>
              </w:rPr>
              <w:t>UT)</w:t>
            </w:r>
            <w:r w:rsidR="005B0691">
              <w:rPr>
                <w:color w:val="000000"/>
                <w:sz w:val="23"/>
                <w:szCs w:val="23"/>
              </w:rPr>
              <w:t>,</w:t>
            </w:r>
            <w:r w:rsidR="00D503D4">
              <w:rPr>
                <w:color w:val="000000"/>
                <w:sz w:val="23"/>
                <w:szCs w:val="23"/>
              </w:rPr>
              <w:t xml:space="preserve"> and Chris Coons (D-DE)</w:t>
            </w:r>
            <w:r w:rsidR="005B0691">
              <w:rPr>
                <w:color w:val="000000"/>
                <w:sz w:val="23"/>
                <w:szCs w:val="23"/>
              </w:rPr>
              <w:t xml:space="preserve"> introduced the Internati</w:t>
            </w:r>
            <w:r w:rsidR="009605B5">
              <w:rPr>
                <w:color w:val="000000"/>
                <w:sz w:val="23"/>
                <w:szCs w:val="23"/>
              </w:rPr>
              <w:t xml:space="preserve">onal Communications Privacy Act – </w:t>
            </w:r>
            <w:bookmarkStart w:id="0" w:name="_GoBack"/>
            <w:bookmarkEnd w:id="0"/>
            <w:r w:rsidR="005B0691">
              <w:rPr>
                <w:color w:val="000000"/>
                <w:sz w:val="23"/>
                <w:szCs w:val="23"/>
              </w:rPr>
              <w:t>a bipartisan bill that will clarify U.S. law enforcement’s ability to obtain electronic communications around the world.</w:t>
            </w:r>
          </w:p>
          <w:p w:rsidR="00D503D4" w:rsidRPr="005B0691" w:rsidRDefault="00D503D4" w:rsidP="00D503D4">
            <w:pPr>
              <w:spacing w:before="100" w:beforeAutospacing="1" w:after="100" w:afterAutospacing="1"/>
              <w:rPr>
                <w:rFonts w:ascii="Calibri" w:hAnsi="Calibri"/>
                <w:color w:val="000000"/>
              </w:rPr>
            </w:pPr>
            <w:r>
              <w:rPr>
                <w:color w:val="000000"/>
                <w:sz w:val="23"/>
                <w:szCs w:val="23"/>
                <w:shd w:val="clear" w:color="auto" w:fill="FFFFFF"/>
              </w:rPr>
              <w:t>“The world is becoming more dependent on broadband internet by the minute,” </w:t>
            </w:r>
            <w:r>
              <w:rPr>
                <w:b/>
                <w:bCs/>
                <w:color w:val="000000"/>
                <w:sz w:val="23"/>
                <w:szCs w:val="23"/>
                <w:shd w:val="clear" w:color="auto" w:fill="FFFFFF"/>
              </w:rPr>
              <w:t>Senator Heller said.</w:t>
            </w:r>
            <w:r>
              <w:rPr>
                <w:color w:val="000000"/>
                <w:sz w:val="23"/>
                <w:szCs w:val="23"/>
                <w:shd w:val="clear" w:color="auto" w:fill="FFFFFF"/>
              </w:rPr>
              <w:t> “As this technological necessity continues to expand its role in our society, it is imperative the guaranteed rights of law-abiding citizens are balanced against the ability for law enforcement to do its job. I’m proud to join Senators Hatch and Coons to achieve this goal.”</w:t>
            </w:r>
          </w:p>
          <w:p w:rsidR="005B0691" w:rsidRPr="005B0691" w:rsidRDefault="005B0691" w:rsidP="005B0691">
            <w:pPr>
              <w:spacing w:before="100" w:beforeAutospacing="1" w:after="100" w:afterAutospacing="1"/>
              <w:rPr>
                <w:color w:val="000000"/>
              </w:rPr>
            </w:pPr>
            <w:r>
              <w:rPr>
                <w:color w:val="000000"/>
                <w:sz w:val="23"/>
                <w:szCs w:val="23"/>
              </w:rPr>
              <w:t xml:space="preserve">“It is past time for Congress to modernize the outdated Electronic Communications Privacy Act,” </w:t>
            </w:r>
            <w:r>
              <w:rPr>
                <w:b/>
                <w:bCs/>
                <w:color w:val="000000"/>
                <w:sz w:val="23"/>
                <w:szCs w:val="23"/>
              </w:rPr>
              <w:t>Senator Hatch said.</w:t>
            </w:r>
            <w:r>
              <w:rPr>
                <w:color w:val="000000"/>
                <w:sz w:val="23"/>
                <w:szCs w:val="23"/>
              </w:rPr>
              <w:t> “As we do so, lawmakers must not ignore the pressing issue of international data privacy and the need for Congress to establish a legal framework for accessing extraterritorial communications. The global reach of government warrant authority has significant implications for multinational businesses and their customers. The International Communications Privacy Act aids law enforcement while safeguarding consumer privacy, striking a much-needed balance in today’s data-driven economy.”</w:t>
            </w:r>
          </w:p>
          <w:p w:rsidR="005B0691" w:rsidRDefault="005B0691" w:rsidP="005B0691">
            <w:pPr>
              <w:spacing w:before="100" w:beforeAutospacing="1" w:after="100" w:afterAutospacing="1"/>
              <w:rPr>
                <w:color w:val="000000"/>
              </w:rPr>
            </w:pPr>
            <w:r>
              <w:rPr>
                <w:color w:val="000000"/>
                <w:sz w:val="23"/>
                <w:szCs w:val="23"/>
              </w:rPr>
              <w:t>"In an increasingly globalized world, protecting data stored abroad is critical to our country's ability to compete in the global economy," </w:t>
            </w:r>
            <w:r>
              <w:rPr>
                <w:b/>
                <w:bCs/>
                <w:color w:val="000000"/>
                <w:sz w:val="23"/>
                <w:szCs w:val="23"/>
              </w:rPr>
              <w:t>said Senator Coons.</w:t>
            </w:r>
            <w:r>
              <w:rPr>
                <w:color w:val="000000"/>
                <w:sz w:val="23"/>
                <w:szCs w:val="23"/>
              </w:rPr>
              <w:t> "Just like law enforcement agencies should be required to get a warrant before accessing the content of Americans’ communications within our borders, processes for accessing content located abroad should also comply with the law.  This common-sense bill will protect our data across borders, and encourage fair treatment by our international partners."</w:t>
            </w:r>
          </w:p>
          <w:p w:rsidR="005B0691" w:rsidRDefault="005B0691" w:rsidP="005B0691">
            <w:pPr>
              <w:rPr>
                <w:b/>
                <w:color w:val="000000"/>
                <w:sz w:val="21"/>
                <w:szCs w:val="21"/>
                <w:u w:val="single"/>
              </w:rPr>
            </w:pPr>
            <w:r w:rsidRPr="005B0691">
              <w:rPr>
                <w:b/>
                <w:bCs/>
                <w:color w:val="000000"/>
                <w:sz w:val="23"/>
                <w:szCs w:val="23"/>
                <w:u w:val="single"/>
              </w:rPr>
              <w:t>Background</w:t>
            </w:r>
            <w:r w:rsidRPr="005B0691">
              <w:rPr>
                <w:b/>
                <w:color w:val="000000"/>
                <w:sz w:val="21"/>
                <w:szCs w:val="21"/>
                <w:u w:val="single"/>
              </w:rPr>
              <w:t>:</w:t>
            </w:r>
          </w:p>
          <w:p w:rsidR="005B0691" w:rsidRPr="005B0691" w:rsidRDefault="005B0691" w:rsidP="005B0691">
            <w:pPr>
              <w:rPr>
                <w:b/>
                <w:color w:val="000000"/>
                <w:sz w:val="21"/>
                <w:szCs w:val="21"/>
                <w:u w:val="single"/>
              </w:rPr>
            </w:pPr>
          </w:p>
          <w:p w:rsidR="005B0691" w:rsidRPr="005B0691" w:rsidRDefault="009605B5" w:rsidP="005B0691">
            <w:pPr>
              <w:rPr>
                <w:color w:val="000000"/>
              </w:rPr>
            </w:pPr>
            <w:hyperlink r:id="rId7" w:history="1">
              <w:r w:rsidR="005B0691">
                <w:rPr>
                  <w:rStyle w:val="Hyperlink"/>
                  <w:sz w:val="23"/>
                  <w:szCs w:val="23"/>
                </w:rPr>
                <w:t>The International Communications Privacy Act</w:t>
              </w:r>
            </w:hyperlink>
            <w:r w:rsidR="005B0691">
              <w:rPr>
                <w:color w:val="000000"/>
                <w:sz w:val="23"/>
                <w:szCs w:val="23"/>
              </w:rPr>
              <w:t xml:space="preserve"> (ICPA) creates a legal framework that clarifies the ability of law enforcement to obtain electronic communication of U.S. citizens, no matter where the person or the communications are located. It also provides for law enforcement to obtain communications of foreign citizens in limited circumstances, consistent with international law.</w:t>
            </w:r>
          </w:p>
          <w:p w:rsidR="005B0691" w:rsidRDefault="005B0691" w:rsidP="005B0691">
            <w:pPr>
              <w:spacing w:before="100" w:beforeAutospacing="1" w:after="100" w:afterAutospacing="1"/>
              <w:rPr>
                <w:color w:val="000000"/>
              </w:rPr>
            </w:pPr>
            <w:r>
              <w:rPr>
                <w:b/>
                <w:bCs/>
                <w:color w:val="000000"/>
                <w:sz w:val="23"/>
                <w:szCs w:val="23"/>
              </w:rPr>
              <w:t>ICPA Overview –</w:t>
            </w:r>
          </w:p>
          <w:p w:rsidR="005B0691" w:rsidRDefault="005B0691" w:rsidP="005B0691">
            <w:pPr>
              <w:numPr>
                <w:ilvl w:val="0"/>
                <w:numId w:val="14"/>
              </w:numPr>
              <w:spacing w:before="100" w:beforeAutospacing="1" w:after="100" w:afterAutospacing="1"/>
              <w:rPr>
                <w:color w:val="000000"/>
                <w:sz w:val="21"/>
                <w:szCs w:val="21"/>
              </w:rPr>
            </w:pPr>
            <w:r>
              <w:rPr>
                <w:color w:val="000000"/>
                <w:sz w:val="23"/>
                <w:szCs w:val="23"/>
              </w:rPr>
              <w:t xml:space="preserve">Requires law enforcement agencies to obtain a warrant for all content. Under ICPA, law enforcement may only obtain the content of electronic communications stored with </w:t>
            </w:r>
            <w:r>
              <w:rPr>
                <w:color w:val="000000"/>
                <w:sz w:val="23"/>
                <w:szCs w:val="23"/>
              </w:rPr>
              <w:lastRenderedPageBreak/>
              <w:t xml:space="preserve">electronic communication service providers and remote computing service providers pursuant to a warrant. </w:t>
            </w:r>
          </w:p>
          <w:p w:rsidR="005B0691" w:rsidRDefault="005B0691" w:rsidP="005B0691">
            <w:pPr>
              <w:numPr>
                <w:ilvl w:val="0"/>
                <w:numId w:val="14"/>
              </w:numPr>
              <w:spacing w:before="100" w:beforeAutospacing="1" w:after="100" w:afterAutospacing="1"/>
              <w:rPr>
                <w:color w:val="000000"/>
                <w:sz w:val="21"/>
                <w:szCs w:val="21"/>
              </w:rPr>
            </w:pPr>
            <w:r>
              <w:rPr>
                <w:color w:val="000000"/>
                <w:sz w:val="23"/>
                <w:szCs w:val="23"/>
              </w:rPr>
              <w:t xml:space="preserve">Creates a clear legal framework authorizing law enforcement to obtain the electronic communications of U.S. persons, regardless of where those communications are located. It also allows law enforcement to obtain electronic communications relating to foreign nationals in certain circumstances. </w:t>
            </w:r>
          </w:p>
          <w:p w:rsidR="005B0691" w:rsidRDefault="005B0691" w:rsidP="005B0691">
            <w:pPr>
              <w:numPr>
                <w:ilvl w:val="0"/>
                <w:numId w:val="14"/>
              </w:numPr>
              <w:spacing w:before="100" w:beforeAutospacing="1" w:after="100" w:afterAutospacing="1"/>
              <w:rPr>
                <w:color w:val="000000"/>
                <w:sz w:val="21"/>
                <w:szCs w:val="21"/>
              </w:rPr>
            </w:pPr>
            <w:r>
              <w:rPr>
                <w:color w:val="000000"/>
                <w:sz w:val="23"/>
                <w:szCs w:val="23"/>
              </w:rPr>
              <w:t xml:space="preserve">Reforms the Mutual Legal Assistance Treaty (MLAT) process by providing greater accessibility, transparency, and accountability. ICPA requires the Attorney General to create an online docketing system for MLAT requests and to publish new statistics on the number of such requests. </w:t>
            </w:r>
          </w:p>
          <w:p w:rsidR="005B0691" w:rsidRDefault="005B0691" w:rsidP="005B0691">
            <w:pPr>
              <w:numPr>
                <w:ilvl w:val="0"/>
                <w:numId w:val="14"/>
              </w:numPr>
              <w:spacing w:before="100" w:beforeAutospacing="1" w:after="100" w:afterAutospacing="1"/>
              <w:rPr>
                <w:color w:val="000000"/>
                <w:sz w:val="21"/>
                <w:szCs w:val="21"/>
              </w:rPr>
            </w:pPr>
            <w:r>
              <w:rPr>
                <w:color w:val="000000"/>
                <w:sz w:val="23"/>
                <w:szCs w:val="23"/>
              </w:rPr>
              <w:t xml:space="preserve">Establishes a sense of Congress that data providers should not be subject to data localization requirements. Such requirements are incompatible with the borderless nature of the Internet, an impediment to online innovation, and unnecessary to meet the needs of law enforcement. </w:t>
            </w:r>
          </w:p>
          <w:p w:rsidR="004960DF" w:rsidRDefault="004960DF" w:rsidP="004960DF">
            <w:pPr>
              <w:jc w:val="center"/>
            </w:pPr>
            <w:r>
              <w:t>###</w:t>
            </w:r>
          </w:p>
          <w:p w:rsidR="0083116E" w:rsidRPr="006D0E64" w:rsidRDefault="0083116E" w:rsidP="0083116E">
            <w:pPr>
              <w:jc w:val="center"/>
            </w:pPr>
          </w:p>
          <w:p w:rsidR="0057797F" w:rsidRDefault="00AA438D" w:rsidP="00AA438D">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A438D" w:rsidRPr="006D0E64" w:rsidRDefault="00AA438D" w:rsidP="00AA438D">
            <w:pPr>
              <w:jc w:val="center"/>
              <w:rPr>
                <w:b/>
              </w:rPr>
            </w:pPr>
          </w:p>
        </w:tc>
      </w:tr>
    </w:tbl>
    <w:p w:rsidR="00580E98" w:rsidRPr="006D0E64" w:rsidRDefault="00580E98" w:rsidP="0057797F"/>
    <w:sectPr w:rsidR="00580E98" w:rsidRPr="006D0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71EBA"/>
    <w:multiLevelType w:val="multilevel"/>
    <w:tmpl w:val="F05ED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5"/>
  </w:num>
  <w:num w:numId="5">
    <w:abstractNumId w:val="4"/>
  </w:num>
  <w:num w:numId="6">
    <w:abstractNumId w:val="4"/>
  </w:num>
  <w:num w:numId="7">
    <w:abstractNumId w:val="6"/>
  </w:num>
  <w:num w:numId="8">
    <w:abstractNumId w:val="0"/>
  </w:num>
  <w:num w:numId="9">
    <w:abstractNumId w:val="7"/>
  </w:num>
  <w:num w:numId="10">
    <w:abstractNumId w:val="1"/>
  </w:num>
  <w:num w:numId="11">
    <w:abstractNumId w:val="1"/>
  </w:num>
  <w:num w:numId="12">
    <w:abstractNumId w:val="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445AB"/>
    <w:rsid w:val="00056C73"/>
    <w:rsid w:val="00062FC3"/>
    <w:rsid w:val="000656B9"/>
    <w:rsid w:val="00097FA6"/>
    <w:rsid w:val="000A2F6E"/>
    <w:rsid w:val="000D6F60"/>
    <w:rsid w:val="000F134D"/>
    <w:rsid w:val="001156AB"/>
    <w:rsid w:val="0018652D"/>
    <w:rsid w:val="00186A9A"/>
    <w:rsid w:val="001D0BE6"/>
    <w:rsid w:val="001D18D0"/>
    <w:rsid w:val="001E0CC1"/>
    <w:rsid w:val="001E4A13"/>
    <w:rsid w:val="001F11D9"/>
    <w:rsid w:val="00226558"/>
    <w:rsid w:val="00232D0E"/>
    <w:rsid w:val="002609AA"/>
    <w:rsid w:val="002D09C1"/>
    <w:rsid w:val="002D5220"/>
    <w:rsid w:val="002E76FB"/>
    <w:rsid w:val="002F6E22"/>
    <w:rsid w:val="003124C7"/>
    <w:rsid w:val="0031258C"/>
    <w:rsid w:val="00323E02"/>
    <w:rsid w:val="0033010E"/>
    <w:rsid w:val="003347A2"/>
    <w:rsid w:val="00334CD6"/>
    <w:rsid w:val="00341F55"/>
    <w:rsid w:val="00342362"/>
    <w:rsid w:val="0038108A"/>
    <w:rsid w:val="00393367"/>
    <w:rsid w:val="003B5DDB"/>
    <w:rsid w:val="003C03FA"/>
    <w:rsid w:val="003C184C"/>
    <w:rsid w:val="003C4208"/>
    <w:rsid w:val="003C666C"/>
    <w:rsid w:val="003E2C10"/>
    <w:rsid w:val="003F095A"/>
    <w:rsid w:val="003F4491"/>
    <w:rsid w:val="00413C3D"/>
    <w:rsid w:val="00446AD2"/>
    <w:rsid w:val="00450C0E"/>
    <w:rsid w:val="00464BBC"/>
    <w:rsid w:val="00481DBA"/>
    <w:rsid w:val="004960DF"/>
    <w:rsid w:val="004B2C96"/>
    <w:rsid w:val="004C3F25"/>
    <w:rsid w:val="004C5EEC"/>
    <w:rsid w:val="004E76ED"/>
    <w:rsid w:val="004E791B"/>
    <w:rsid w:val="004F62B8"/>
    <w:rsid w:val="00524741"/>
    <w:rsid w:val="00550740"/>
    <w:rsid w:val="00555B26"/>
    <w:rsid w:val="00571696"/>
    <w:rsid w:val="0057306F"/>
    <w:rsid w:val="0057797F"/>
    <w:rsid w:val="00580E98"/>
    <w:rsid w:val="00586D35"/>
    <w:rsid w:val="00587D1C"/>
    <w:rsid w:val="00592CC4"/>
    <w:rsid w:val="005B0691"/>
    <w:rsid w:val="005B5AFC"/>
    <w:rsid w:val="005C0224"/>
    <w:rsid w:val="005D1DB8"/>
    <w:rsid w:val="005D325B"/>
    <w:rsid w:val="005F1D11"/>
    <w:rsid w:val="00622223"/>
    <w:rsid w:val="006570A6"/>
    <w:rsid w:val="0066285F"/>
    <w:rsid w:val="006665B4"/>
    <w:rsid w:val="00670402"/>
    <w:rsid w:val="00671297"/>
    <w:rsid w:val="006742C7"/>
    <w:rsid w:val="00676AEF"/>
    <w:rsid w:val="006915FB"/>
    <w:rsid w:val="006A7C1A"/>
    <w:rsid w:val="006D0E64"/>
    <w:rsid w:val="006E1284"/>
    <w:rsid w:val="006E18C2"/>
    <w:rsid w:val="006F223B"/>
    <w:rsid w:val="006F6268"/>
    <w:rsid w:val="00703EBC"/>
    <w:rsid w:val="007047AA"/>
    <w:rsid w:val="007131AB"/>
    <w:rsid w:val="00735B1D"/>
    <w:rsid w:val="0074695B"/>
    <w:rsid w:val="00755C81"/>
    <w:rsid w:val="00762113"/>
    <w:rsid w:val="00780B54"/>
    <w:rsid w:val="007A14FC"/>
    <w:rsid w:val="007A797D"/>
    <w:rsid w:val="007C7A53"/>
    <w:rsid w:val="007D5CFA"/>
    <w:rsid w:val="007E241D"/>
    <w:rsid w:val="007E2DDD"/>
    <w:rsid w:val="007E5696"/>
    <w:rsid w:val="007F7719"/>
    <w:rsid w:val="0080185E"/>
    <w:rsid w:val="00807E9F"/>
    <w:rsid w:val="00827203"/>
    <w:rsid w:val="0083116E"/>
    <w:rsid w:val="00842D21"/>
    <w:rsid w:val="00857127"/>
    <w:rsid w:val="00871988"/>
    <w:rsid w:val="00885E3D"/>
    <w:rsid w:val="00892EFC"/>
    <w:rsid w:val="008B66CD"/>
    <w:rsid w:val="008C70FB"/>
    <w:rsid w:val="008F7E41"/>
    <w:rsid w:val="0090162A"/>
    <w:rsid w:val="00921D1D"/>
    <w:rsid w:val="00955631"/>
    <w:rsid w:val="009605B5"/>
    <w:rsid w:val="009730D2"/>
    <w:rsid w:val="009938F1"/>
    <w:rsid w:val="009967C8"/>
    <w:rsid w:val="009A303D"/>
    <w:rsid w:val="009A379A"/>
    <w:rsid w:val="009A5285"/>
    <w:rsid w:val="009C50C4"/>
    <w:rsid w:val="009E3806"/>
    <w:rsid w:val="009E4B1E"/>
    <w:rsid w:val="00A1238A"/>
    <w:rsid w:val="00A34E3C"/>
    <w:rsid w:val="00A643AC"/>
    <w:rsid w:val="00A74C55"/>
    <w:rsid w:val="00A80D96"/>
    <w:rsid w:val="00A9103F"/>
    <w:rsid w:val="00AA438D"/>
    <w:rsid w:val="00AB0903"/>
    <w:rsid w:val="00AB3033"/>
    <w:rsid w:val="00AB3831"/>
    <w:rsid w:val="00AC18B3"/>
    <w:rsid w:val="00AC687B"/>
    <w:rsid w:val="00AC77A9"/>
    <w:rsid w:val="00AD52F8"/>
    <w:rsid w:val="00AE3C5D"/>
    <w:rsid w:val="00AE3E25"/>
    <w:rsid w:val="00AF35BC"/>
    <w:rsid w:val="00B01FA7"/>
    <w:rsid w:val="00B06072"/>
    <w:rsid w:val="00B11CAC"/>
    <w:rsid w:val="00B14A45"/>
    <w:rsid w:val="00B2098B"/>
    <w:rsid w:val="00B20F87"/>
    <w:rsid w:val="00B27CBD"/>
    <w:rsid w:val="00B54754"/>
    <w:rsid w:val="00B61F31"/>
    <w:rsid w:val="00B6308F"/>
    <w:rsid w:val="00B72F1D"/>
    <w:rsid w:val="00B85E7E"/>
    <w:rsid w:val="00BA194F"/>
    <w:rsid w:val="00BA51D5"/>
    <w:rsid w:val="00BA783A"/>
    <w:rsid w:val="00BC37B3"/>
    <w:rsid w:val="00BC75C3"/>
    <w:rsid w:val="00BC77F4"/>
    <w:rsid w:val="00BC7C41"/>
    <w:rsid w:val="00BF11D5"/>
    <w:rsid w:val="00BF712C"/>
    <w:rsid w:val="00C013B3"/>
    <w:rsid w:val="00C0244A"/>
    <w:rsid w:val="00C140D1"/>
    <w:rsid w:val="00C2084A"/>
    <w:rsid w:val="00C26677"/>
    <w:rsid w:val="00C35937"/>
    <w:rsid w:val="00C425F9"/>
    <w:rsid w:val="00C42B95"/>
    <w:rsid w:val="00C64C41"/>
    <w:rsid w:val="00C824A2"/>
    <w:rsid w:val="00CB3C00"/>
    <w:rsid w:val="00CB50BE"/>
    <w:rsid w:val="00CD1090"/>
    <w:rsid w:val="00CD19E2"/>
    <w:rsid w:val="00CD4730"/>
    <w:rsid w:val="00CE0CEA"/>
    <w:rsid w:val="00CE7159"/>
    <w:rsid w:val="00CF0593"/>
    <w:rsid w:val="00D0144A"/>
    <w:rsid w:val="00D10359"/>
    <w:rsid w:val="00D14576"/>
    <w:rsid w:val="00D27611"/>
    <w:rsid w:val="00D35FA5"/>
    <w:rsid w:val="00D47519"/>
    <w:rsid w:val="00D503D4"/>
    <w:rsid w:val="00D83F84"/>
    <w:rsid w:val="00DA1AFE"/>
    <w:rsid w:val="00DD4022"/>
    <w:rsid w:val="00DE3792"/>
    <w:rsid w:val="00DE6BF4"/>
    <w:rsid w:val="00DF3C7D"/>
    <w:rsid w:val="00E04733"/>
    <w:rsid w:val="00E32DE4"/>
    <w:rsid w:val="00E576C9"/>
    <w:rsid w:val="00E96E81"/>
    <w:rsid w:val="00EA25C1"/>
    <w:rsid w:val="00EC1CAB"/>
    <w:rsid w:val="00ED3C0C"/>
    <w:rsid w:val="00ED47AC"/>
    <w:rsid w:val="00F05C60"/>
    <w:rsid w:val="00F14F7B"/>
    <w:rsid w:val="00F30CA7"/>
    <w:rsid w:val="00F3536E"/>
    <w:rsid w:val="00F41322"/>
    <w:rsid w:val="00F613B9"/>
    <w:rsid w:val="00F63DF1"/>
    <w:rsid w:val="00F64291"/>
    <w:rsid w:val="00F656CA"/>
    <w:rsid w:val="00F701BD"/>
    <w:rsid w:val="00F7054B"/>
    <w:rsid w:val="00F869D9"/>
    <w:rsid w:val="00F87362"/>
    <w:rsid w:val="00FA3ABE"/>
    <w:rsid w:val="00FB0BA7"/>
    <w:rsid w:val="00FC7136"/>
    <w:rsid w:val="00FC7F17"/>
    <w:rsid w:val="00FE7D91"/>
    <w:rsid w:val="00FF223C"/>
    <w:rsid w:val="00FF6879"/>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977">
      <w:bodyDiv w:val="1"/>
      <w:marLeft w:val="0"/>
      <w:marRight w:val="0"/>
      <w:marTop w:val="0"/>
      <w:marBottom w:val="0"/>
      <w:divBdr>
        <w:top w:val="none" w:sz="0" w:space="0" w:color="auto"/>
        <w:left w:val="none" w:sz="0" w:space="0" w:color="auto"/>
        <w:bottom w:val="none" w:sz="0" w:space="0" w:color="auto"/>
        <w:right w:val="none" w:sz="0" w:space="0" w:color="auto"/>
      </w:divBdr>
    </w:div>
    <w:div w:id="19623718">
      <w:bodyDiv w:val="1"/>
      <w:marLeft w:val="0"/>
      <w:marRight w:val="0"/>
      <w:marTop w:val="0"/>
      <w:marBottom w:val="0"/>
      <w:divBdr>
        <w:top w:val="none" w:sz="0" w:space="0" w:color="auto"/>
        <w:left w:val="none" w:sz="0" w:space="0" w:color="auto"/>
        <w:bottom w:val="none" w:sz="0" w:space="0" w:color="auto"/>
        <w:right w:val="none" w:sz="0" w:space="0" w:color="auto"/>
      </w:divBdr>
    </w:div>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9346413">
      <w:bodyDiv w:val="1"/>
      <w:marLeft w:val="0"/>
      <w:marRight w:val="0"/>
      <w:marTop w:val="0"/>
      <w:marBottom w:val="0"/>
      <w:divBdr>
        <w:top w:val="none" w:sz="0" w:space="0" w:color="auto"/>
        <w:left w:val="none" w:sz="0" w:space="0" w:color="auto"/>
        <w:bottom w:val="none" w:sz="0" w:space="0" w:color="auto"/>
        <w:right w:val="none" w:sz="0" w:space="0" w:color="auto"/>
      </w:divBdr>
    </w:div>
    <w:div w:id="517624351">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843127816">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66180266">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05488522">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572618804">
      <w:bodyDiv w:val="1"/>
      <w:marLeft w:val="0"/>
      <w:marRight w:val="0"/>
      <w:marTop w:val="0"/>
      <w:marBottom w:val="0"/>
      <w:divBdr>
        <w:top w:val="none" w:sz="0" w:space="0" w:color="auto"/>
        <w:left w:val="none" w:sz="0" w:space="0" w:color="auto"/>
        <w:bottom w:val="none" w:sz="0" w:space="0" w:color="auto"/>
        <w:right w:val="none" w:sz="0" w:space="0" w:color="auto"/>
      </w:divBdr>
    </w:div>
    <w:div w:id="1596012142">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35009228">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99169984">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1985893405">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06032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6.png@01D15EA3.CEBDCB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tch.senate.gov/public/_cache/files/507a24ea-3442-4ff4-958b-f72dfc779824/ALB16525.pd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7.png@01D15EA3.CEBDCB0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5.png@01D15EA3.CEBDCB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4</cp:revision>
  <cp:lastPrinted>2016-05-11T14:39:00Z</cp:lastPrinted>
  <dcterms:created xsi:type="dcterms:W3CDTF">2016-05-25T18:18:00Z</dcterms:created>
  <dcterms:modified xsi:type="dcterms:W3CDTF">2016-05-25T18:32:00Z</dcterms:modified>
</cp:coreProperties>
</file>