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15" w:type="dxa"/>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353"/>
      </w:tblGrid>
      <w:tr w:rsidR="003B0819" w:rsidTr="00365D4A">
        <w:tc>
          <w:tcPr>
            <w:tcW w:w="9315" w:type="dxa"/>
          </w:tcPr>
          <w:tbl>
            <w:tblPr>
              <w:tblStyle w:val="TableGrid"/>
              <w:tblW w:w="9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1"/>
              <w:gridCol w:w="5642"/>
            </w:tblGrid>
            <w:tr w:rsidR="00365D4A" w:rsidRPr="00EA6CBB" w:rsidTr="00911000">
              <w:trPr>
                <w:trHeight w:val="221"/>
              </w:trPr>
              <w:tc>
                <w:tcPr>
                  <w:tcW w:w="3621" w:type="dxa"/>
                </w:tcPr>
                <w:p w:rsidR="00365D4A" w:rsidRDefault="00365D4A" w:rsidP="00365D4A">
                  <w:pPr>
                    <w:jc w:val="center"/>
                  </w:pPr>
                </w:p>
              </w:tc>
              <w:tc>
                <w:tcPr>
                  <w:tcW w:w="5642" w:type="dxa"/>
                </w:tcPr>
                <w:p w:rsidR="00365D4A" w:rsidRDefault="00365D4A" w:rsidP="00365D4A">
                  <w:r>
                    <w:rPr>
                      <w:noProof/>
                    </w:rPr>
                    <w:drawing>
                      <wp:inline distT="0" distB="0" distL="0" distR="0" wp14:anchorId="0FC6539B" wp14:editId="468217DB">
                        <wp:extent cx="1314450" cy="1244009"/>
                        <wp:effectExtent l="0" t="0" r="0" b="0"/>
                        <wp:docPr id="2" name="Picture 2" descr="http://upload.wikimedia.org/wikipedia/commons/thumb/7/74/US-Senate-UnofficialAltGreatSeal.svg/2000px-US-Senate-UnofficialAltGreat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7/74/US-Senate-UnofficialAltGreatSeal.svg/2000px-US-Senate-UnofficialAltGreatSeal.svg.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15039" cy="1244566"/>
                                </a:xfrm>
                                <a:prstGeom prst="rect">
                                  <a:avLst/>
                                </a:prstGeom>
                                <a:noFill/>
                                <a:ln>
                                  <a:noFill/>
                                </a:ln>
                              </pic:spPr>
                            </pic:pic>
                          </a:graphicData>
                        </a:graphic>
                      </wp:inline>
                    </w:drawing>
                  </w:r>
                </w:p>
              </w:tc>
            </w:tr>
            <w:tr w:rsidR="00365D4A" w:rsidRPr="00EA6CBB" w:rsidTr="00911000">
              <w:trPr>
                <w:trHeight w:val="221"/>
              </w:trPr>
              <w:tc>
                <w:tcPr>
                  <w:tcW w:w="3621" w:type="dxa"/>
                </w:tcPr>
                <w:p w:rsidR="00365D4A" w:rsidRDefault="00365D4A" w:rsidP="00365D4A"/>
              </w:tc>
              <w:tc>
                <w:tcPr>
                  <w:tcW w:w="5642" w:type="dxa"/>
                </w:tcPr>
                <w:p w:rsidR="00365D4A" w:rsidRDefault="00365D4A" w:rsidP="00365D4A">
                  <w:pPr>
                    <w:jc w:val="center"/>
                  </w:pPr>
                </w:p>
              </w:tc>
            </w:tr>
            <w:tr w:rsidR="00365D4A" w:rsidRPr="001D661F" w:rsidTr="00911000">
              <w:trPr>
                <w:trHeight w:val="208"/>
              </w:trPr>
              <w:tc>
                <w:tcPr>
                  <w:tcW w:w="3621" w:type="dxa"/>
                </w:tcPr>
                <w:p w:rsidR="00365D4A" w:rsidRPr="001D661F" w:rsidRDefault="00365D4A" w:rsidP="00365D4A">
                  <w:pPr>
                    <w:rPr>
                      <w:b/>
                    </w:rPr>
                  </w:pPr>
                  <w:r w:rsidRPr="001D661F">
                    <w:rPr>
                      <w:b/>
                    </w:rPr>
                    <w:t>For Immediate Release:</w:t>
                  </w:r>
                </w:p>
              </w:tc>
              <w:tc>
                <w:tcPr>
                  <w:tcW w:w="5642" w:type="dxa"/>
                </w:tcPr>
                <w:p w:rsidR="00365D4A" w:rsidRPr="001D661F" w:rsidRDefault="00365D4A" w:rsidP="00365D4A">
                  <w:pPr>
                    <w:jc w:val="right"/>
                    <w:rPr>
                      <w:b/>
                    </w:rPr>
                  </w:pPr>
                  <w:r w:rsidRPr="001D661F">
                    <w:rPr>
                      <w:b/>
                    </w:rPr>
                    <w:t xml:space="preserve">Contacts: </w:t>
                  </w:r>
                </w:p>
              </w:tc>
            </w:tr>
            <w:tr w:rsidR="00365D4A" w:rsidRPr="001D661F" w:rsidTr="00911000">
              <w:trPr>
                <w:trHeight w:val="1082"/>
              </w:trPr>
              <w:tc>
                <w:tcPr>
                  <w:tcW w:w="3621" w:type="dxa"/>
                </w:tcPr>
                <w:p w:rsidR="00365D4A" w:rsidRPr="001D661F" w:rsidRDefault="001D661F" w:rsidP="00365D4A">
                  <w:pPr>
                    <w:rPr>
                      <w:b/>
                    </w:rPr>
                  </w:pPr>
                  <w:r w:rsidRPr="001D661F">
                    <w:t>March 23</w:t>
                  </w:r>
                  <w:r w:rsidR="00365D4A" w:rsidRPr="001D661F">
                    <w:t>, 2017</w:t>
                  </w:r>
                </w:p>
              </w:tc>
              <w:tc>
                <w:tcPr>
                  <w:tcW w:w="5642" w:type="dxa"/>
                </w:tcPr>
                <w:p w:rsidR="00161A60" w:rsidRDefault="00E61D85" w:rsidP="00161A60">
                  <w:pPr>
                    <w:jc w:val="right"/>
                    <w:rPr>
                      <w:sz w:val="22"/>
                      <w:szCs w:val="22"/>
                    </w:rPr>
                  </w:pPr>
                  <w:hyperlink r:id="rId6" w:history="1">
                    <w:r w:rsidR="00161A60">
                      <w:rPr>
                        <w:rStyle w:val="Hyperlink"/>
                      </w:rPr>
                      <w:t>Megan Taylor</w:t>
                    </w:r>
                  </w:hyperlink>
                  <w:r w:rsidR="00161A60">
                    <w:t xml:space="preserve"> (202) 224-6244 (Heller)</w:t>
                  </w:r>
                </w:p>
                <w:p w:rsidR="00161A60" w:rsidRDefault="00E61D85" w:rsidP="00161A60">
                  <w:pPr>
                    <w:jc w:val="right"/>
                  </w:pPr>
                  <w:hyperlink r:id="rId7" w:history="1">
                    <w:r w:rsidR="00161A60">
                      <w:rPr>
                        <w:rStyle w:val="Hyperlink"/>
                      </w:rPr>
                      <w:t>Brianna Puccini</w:t>
                    </w:r>
                  </w:hyperlink>
                  <w:r w:rsidR="00161A60">
                    <w:t xml:space="preserve"> (202) 224-6551 (Fischer)</w:t>
                  </w:r>
                </w:p>
                <w:p w:rsidR="00365D4A" w:rsidRPr="001D661F" w:rsidRDefault="00E61D85" w:rsidP="00161A60">
                  <w:pPr>
                    <w:jc w:val="right"/>
                  </w:pPr>
                  <w:hyperlink r:id="rId8" w:history="1">
                    <w:r w:rsidR="00161A60">
                      <w:rPr>
                        <w:rStyle w:val="Hyperlink"/>
                      </w:rPr>
                      <w:t>Drew Pusateri</w:t>
                    </w:r>
                  </w:hyperlink>
                  <w:r w:rsidR="00161A60">
                    <w:t xml:space="preserve"> (202) 224-6154 (</w:t>
                  </w:r>
                  <w:proofErr w:type="spellStart"/>
                  <w:r w:rsidR="00161A60">
                    <w:t>McCaskill</w:t>
                  </w:r>
                  <w:proofErr w:type="spellEnd"/>
                </w:p>
              </w:tc>
            </w:tr>
          </w:tbl>
          <w:p w:rsidR="00365D4A" w:rsidRPr="001D661F" w:rsidRDefault="00365D4A" w:rsidP="00365D4A">
            <w:pPr>
              <w:rPr>
                <w:b/>
                <w:bCs/>
                <w:sz w:val="36"/>
                <w:szCs w:val="36"/>
              </w:rPr>
            </w:pPr>
            <w:r w:rsidRPr="001D661F">
              <w:rPr>
                <w:b/>
                <w:bCs/>
                <w:sz w:val="36"/>
                <w:szCs w:val="36"/>
              </w:rPr>
              <w:t>Heller</w:t>
            </w:r>
            <w:r w:rsidR="007C6895">
              <w:rPr>
                <w:b/>
                <w:bCs/>
                <w:sz w:val="36"/>
                <w:szCs w:val="36"/>
              </w:rPr>
              <w:t>,</w:t>
            </w:r>
            <w:r w:rsidR="007C6895" w:rsidRPr="001D661F">
              <w:rPr>
                <w:b/>
                <w:bCs/>
                <w:sz w:val="36"/>
                <w:szCs w:val="36"/>
              </w:rPr>
              <w:t xml:space="preserve"> </w:t>
            </w:r>
            <w:r w:rsidR="007C6895">
              <w:rPr>
                <w:b/>
                <w:bCs/>
                <w:sz w:val="36"/>
                <w:szCs w:val="36"/>
              </w:rPr>
              <w:t xml:space="preserve">Fischer, </w:t>
            </w:r>
            <w:proofErr w:type="spellStart"/>
            <w:r w:rsidR="007C6895">
              <w:rPr>
                <w:b/>
                <w:bCs/>
                <w:sz w:val="36"/>
                <w:szCs w:val="36"/>
              </w:rPr>
              <w:t>McCaskill</w:t>
            </w:r>
            <w:proofErr w:type="spellEnd"/>
            <w:r w:rsidRPr="001D661F">
              <w:rPr>
                <w:b/>
                <w:bCs/>
                <w:sz w:val="36"/>
                <w:szCs w:val="36"/>
              </w:rPr>
              <w:t>: End Wasteful Federal Bonuses</w:t>
            </w:r>
          </w:p>
          <w:p w:rsidR="00365D4A" w:rsidRPr="001D661F" w:rsidRDefault="00365D4A" w:rsidP="00365D4A">
            <w:pPr>
              <w:jc w:val="center"/>
              <w:rPr>
                <w:b/>
                <w:bCs/>
              </w:rPr>
            </w:pPr>
            <w:bookmarkStart w:id="0" w:name="_GoBack"/>
            <w:bookmarkEnd w:id="0"/>
          </w:p>
          <w:p w:rsidR="00365D4A" w:rsidRPr="001D661F" w:rsidRDefault="00365D4A" w:rsidP="00365D4A">
            <w:r w:rsidRPr="001D661F">
              <w:rPr>
                <w:b/>
                <w:bCs/>
              </w:rPr>
              <w:t>(Washington, DC)</w:t>
            </w:r>
            <w:r w:rsidRPr="001D661F">
              <w:t xml:space="preserve"> – U.S. Senators Dean H</w:t>
            </w:r>
            <w:r w:rsidR="00161A60">
              <w:t>eller (R-NV), Deb Fischer (R-NE</w:t>
            </w:r>
            <w:r w:rsidRPr="001D661F">
              <w:t>)</w:t>
            </w:r>
            <w:r w:rsidR="00161A60">
              <w:t>,</w:t>
            </w:r>
            <w:r w:rsidRPr="001D661F">
              <w:t xml:space="preserve"> and Claire </w:t>
            </w:r>
            <w:proofErr w:type="spellStart"/>
            <w:r w:rsidRPr="001D661F">
              <w:t>McCaskill</w:t>
            </w:r>
            <w:proofErr w:type="spellEnd"/>
            <w:r w:rsidR="00757BD2">
              <w:t xml:space="preserve"> (D-MO)</w:t>
            </w:r>
            <w:r w:rsidRPr="001D661F">
              <w:t xml:space="preserve"> reintroduced the bipartisan </w:t>
            </w:r>
            <w:r w:rsidRPr="00227977">
              <w:rPr>
                <w:iCs/>
              </w:rPr>
              <w:t>Stop Improper Federal Bonuses Act</w:t>
            </w:r>
            <w:r w:rsidRPr="001D661F">
              <w:t>. This legislation would prohibit bonus pay for federal employees who commit major infractions under their agency’s code of conduct. It would also require employees who engage in egregious misconduct to repay their bonuses.</w:t>
            </w:r>
          </w:p>
          <w:p w:rsidR="00365D4A" w:rsidRPr="001D661F" w:rsidRDefault="00365D4A" w:rsidP="00365D4A"/>
          <w:p w:rsidR="00365D4A" w:rsidRPr="001D661F" w:rsidRDefault="00365D4A" w:rsidP="00365D4A">
            <w:r w:rsidRPr="001D661F">
              <w:rPr>
                <w:bCs/>
                <w:iCs/>
              </w:rPr>
              <w:t>“Currently, certain federal employees who have violated the law or agency rules are eligible for bonuses, which includes IRS employees with conduct violations. This is unacceptable, and it's time to end the status quo. Our bipartisan legislation will work to protect taxpayer dollars, demand accountability from the federal government, and send a message that government employees are not above the law,”</w:t>
            </w:r>
            <w:r w:rsidRPr="001D661F">
              <w:t xml:space="preserve"> </w:t>
            </w:r>
            <w:r w:rsidRPr="001D661F">
              <w:rPr>
                <w:b/>
              </w:rPr>
              <w:t>said Senator Dean Heller.</w:t>
            </w:r>
          </w:p>
          <w:p w:rsidR="00365D4A" w:rsidRPr="001D661F" w:rsidRDefault="00365D4A" w:rsidP="00365D4A">
            <w:r w:rsidRPr="001D661F">
              <w:t> </w:t>
            </w:r>
          </w:p>
          <w:p w:rsidR="00365D4A" w:rsidRPr="001D661F" w:rsidRDefault="00365D4A" w:rsidP="00365D4A">
            <w:r w:rsidRPr="001D661F">
              <w:rPr>
                <w:bCs/>
                <w:iCs/>
              </w:rPr>
              <w:t xml:space="preserve">“It’s my duty to ensure Nebraskans’ hard-earned tax dollars are used wisely. Federal employees who have broken the law or who engage in serious misconduct should not receive bonus pay. Today, we continue our bipartisan push to end this ridiculous practice and root out waste in our government,” </w:t>
            </w:r>
            <w:r w:rsidRPr="001D661F">
              <w:rPr>
                <w:b/>
              </w:rPr>
              <w:t>said Senator Fischer.</w:t>
            </w:r>
            <w:r w:rsidRPr="001D661F">
              <w:rPr>
                <w:bCs/>
                <w:iCs/>
              </w:rPr>
              <w:t xml:space="preserve">  </w:t>
            </w:r>
          </w:p>
          <w:p w:rsidR="00365D4A" w:rsidRPr="001D661F" w:rsidRDefault="00365D4A" w:rsidP="00365D4A">
            <w:r w:rsidRPr="001D661F">
              <w:t> </w:t>
            </w:r>
          </w:p>
          <w:p w:rsidR="00365D4A" w:rsidRPr="001D661F" w:rsidRDefault="00365D4A" w:rsidP="00365D4A">
            <w:pPr>
              <w:rPr>
                <w:b/>
              </w:rPr>
            </w:pPr>
            <w:r w:rsidRPr="001D661F">
              <w:rPr>
                <w:bCs/>
                <w:iCs/>
              </w:rPr>
              <w:t xml:space="preserve">“This should be a cut-and-dried issue. If you’ve taken actions that could get you suspended, fired, or even thrown into jail, you shouldn’t get a bonus. This bill would help to protect taxpayer dollars from being used to pad the pockets of irresponsible government employees,” </w:t>
            </w:r>
            <w:r w:rsidRPr="001D661F">
              <w:rPr>
                <w:b/>
              </w:rPr>
              <w:t xml:space="preserve">said Senator </w:t>
            </w:r>
            <w:proofErr w:type="spellStart"/>
            <w:r w:rsidRPr="001D661F">
              <w:rPr>
                <w:b/>
              </w:rPr>
              <w:t>McCaskill</w:t>
            </w:r>
            <w:proofErr w:type="spellEnd"/>
            <w:r w:rsidRPr="001D661F">
              <w:rPr>
                <w:b/>
              </w:rPr>
              <w:t>, former Missouri State Auditor.</w:t>
            </w:r>
          </w:p>
          <w:p w:rsidR="00365D4A" w:rsidRPr="001D661F" w:rsidRDefault="00365D4A" w:rsidP="00365D4A">
            <w:pPr>
              <w:rPr>
                <w:b/>
              </w:rPr>
            </w:pPr>
          </w:p>
          <w:p w:rsidR="00365D4A" w:rsidRPr="001D661F" w:rsidRDefault="00365D4A" w:rsidP="00365D4A">
            <w:pPr>
              <w:rPr>
                <w:u w:val="single"/>
              </w:rPr>
            </w:pPr>
            <w:r w:rsidRPr="001D661F">
              <w:rPr>
                <w:b/>
                <w:u w:val="single"/>
              </w:rPr>
              <w:t>Background:</w:t>
            </w:r>
          </w:p>
          <w:p w:rsidR="00365D4A" w:rsidRPr="001D661F" w:rsidRDefault="00365D4A" w:rsidP="00365D4A">
            <w:r w:rsidRPr="001D661F">
              <w:rPr>
                <w:bCs/>
                <w:iCs/>
                <w:caps/>
              </w:rPr>
              <w:t> </w:t>
            </w:r>
            <w:r w:rsidRPr="001D661F">
              <w:t> </w:t>
            </w:r>
          </w:p>
          <w:p w:rsidR="00365D4A" w:rsidRPr="001D661F" w:rsidRDefault="00365D4A" w:rsidP="00365D4A">
            <w:r w:rsidRPr="001D661F">
              <w:t>The</w:t>
            </w:r>
            <w:r w:rsidRPr="001D661F">
              <w:rPr>
                <w:i/>
                <w:iCs/>
              </w:rPr>
              <w:t xml:space="preserve"> </w:t>
            </w:r>
            <w:r w:rsidRPr="00227977">
              <w:rPr>
                <w:iCs/>
              </w:rPr>
              <w:t>Stop Improper Federal Bonuses Act</w:t>
            </w:r>
            <w:r w:rsidRPr="001D661F">
              <w:rPr>
                <w:b/>
                <w:bCs/>
                <w:i/>
                <w:iCs/>
              </w:rPr>
              <w:t xml:space="preserve"> </w:t>
            </w:r>
            <w:r w:rsidRPr="001D661F">
              <w:t xml:space="preserve">would prohibit a federal agency from awarding a bonus to an employee for five years after an adverse finding that could have resulted in a long suspension, removal or jail time. It would also require the employee to repay any bonuses awarded for any year in which an adverse finding is made. </w:t>
            </w:r>
          </w:p>
          <w:p w:rsidR="00365D4A" w:rsidRPr="001D661F" w:rsidRDefault="00365D4A" w:rsidP="00365D4A">
            <w:r w:rsidRPr="001D661F">
              <w:rPr>
                <w:b/>
                <w:bCs/>
                <w:i/>
                <w:iCs/>
              </w:rPr>
              <w:t> </w:t>
            </w:r>
          </w:p>
          <w:p w:rsidR="00365D4A" w:rsidRPr="001D661F" w:rsidRDefault="00365D4A" w:rsidP="00365D4A">
            <w:pPr>
              <w:rPr>
                <w:shd w:val="clear" w:color="auto" w:fill="FFFFFF"/>
              </w:rPr>
            </w:pPr>
          </w:p>
          <w:p w:rsidR="003B0819" w:rsidRDefault="00365D4A" w:rsidP="00E61D85">
            <w:pPr>
              <w:jc w:val="center"/>
            </w:pPr>
            <w:r w:rsidRPr="001D661F">
              <w:lastRenderedPageBreak/>
              <w:t>###</w:t>
            </w:r>
          </w:p>
          <w:p w:rsidR="00E61D85" w:rsidRDefault="00E61D85" w:rsidP="00E61D85">
            <w:pPr>
              <w:jc w:val="center"/>
            </w:pPr>
          </w:p>
          <w:p w:rsidR="003B0819" w:rsidRPr="0033010E" w:rsidRDefault="003B0819" w:rsidP="00B42689">
            <w:pPr>
              <w:jc w:val="center"/>
            </w:pPr>
            <w:r>
              <w:rPr>
                <w:noProof/>
                <w:color w:val="0000FF"/>
              </w:rPr>
              <w:drawing>
                <wp:inline distT="0" distB="0" distL="0" distR="0" wp14:anchorId="477DDA14" wp14:editId="4224173E">
                  <wp:extent cx="323850" cy="323850"/>
                  <wp:effectExtent l="0" t="0" r="0" b="0"/>
                  <wp:docPr id="5" name="Picture 5" descr="http://www.heller.senate.gov/public/vendor/_skins/heller/images/newsletter/icon_fb.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7D9C8787" wp14:editId="7908365B">
                  <wp:extent cx="323850" cy="323850"/>
                  <wp:effectExtent l="0" t="0" r="0" b="0"/>
                  <wp:docPr id="9" name="Picture 9" descr="http://www.heller.senate.gov/public/vendor/_skins/heller/images/newsletter/icon_tw.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B1A4C0D" wp14:editId="4AE46677">
                  <wp:extent cx="323850" cy="323850"/>
                  <wp:effectExtent l="0" t="0" r="0" b="0"/>
                  <wp:docPr id="10" name="Picture 10" descr="http://www.heller.senate.gov/public/vendor/_skins/heller/images/newsletter/icon_yt.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3B0819" w:rsidRDefault="003B0819" w:rsidP="00B42689">
            <w:pPr>
              <w:rPr>
                <w:rFonts w:ascii="Georgia" w:hAnsi="Georgia"/>
                <w:b/>
              </w:rPr>
            </w:pPr>
          </w:p>
        </w:tc>
      </w:tr>
    </w:tbl>
    <w:p w:rsidR="003B0819" w:rsidRDefault="003B0819" w:rsidP="003B0819"/>
    <w:p w:rsidR="005A4F60" w:rsidRDefault="005A4F60"/>
    <w:sectPr w:rsidR="005A4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19"/>
    <w:rsid w:val="00077D17"/>
    <w:rsid w:val="00161A60"/>
    <w:rsid w:val="001D661F"/>
    <w:rsid w:val="00216ADA"/>
    <w:rsid w:val="00227977"/>
    <w:rsid w:val="00281E26"/>
    <w:rsid w:val="002A2923"/>
    <w:rsid w:val="00346595"/>
    <w:rsid w:val="00365D4A"/>
    <w:rsid w:val="003B0819"/>
    <w:rsid w:val="00496184"/>
    <w:rsid w:val="004E5F67"/>
    <w:rsid w:val="005630A8"/>
    <w:rsid w:val="005A4F60"/>
    <w:rsid w:val="00757BD2"/>
    <w:rsid w:val="007C183C"/>
    <w:rsid w:val="007C6895"/>
    <w:rsid w:val="008445C3"/>
    <w:rsid w:val="00892A79"/>
    <w:rsid w:val="00BF4867"/>
    <w:rsid w:val="00E61D85"/>
    <w:rsid w:val="00FE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2D5F0-5C40-471E-B0CB-93152631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819"/>
    <w:rPr>
      <w:color w:val="0563C1" w:themeColor="hyperlink"/>
      <w:u w:val="single"/>
    </w:rPr>
  </w:style>
  <w:style w:type="table" w:styleId="TableGrid">
    <w:name w:val="Table Grid"/>
    <w:basedOn w:val="TableNormal"/>
    <w:uiPriority w:val="59"/>
    <w:rsid w:val="003B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819"/>
    <w:pPr>
      <w:spacing w:after="160" w:line="252" w:lineRule="auto"/>
      <w:ind w:left="720"/>
      <w:contextualSpacing/>
    </w:pPr>
    <w:rPr>
      <w:rFonts w:ascii="Calibri" w:eastAsiaTheme="minorHAnsi" w:hAnsi="Calibri"/>
      <w:sz w:val="22"/>
      <w:szCs w:val="22"/>
    </w:rPr>
  </w:style>
  <w:style w:type="paragraph" w:styleId="BalloonText">
    <w:name w:val="Balloon Text"/>
    <w:basedOn w:val="Normal"/>
    <w:link w:val="BalloonTextChar"/>
    <w:uiPriority w:val="99"/>
    <w:semiHidden/>
    <w:unhideWhenUsed/>
    <w:rsid w:val="003B0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8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031010">
      <w:bodyDiv w:val="1"/>
      <w:marLeft w:val="0"/>
      <w:marRight w:val="0"/>
      <w:marTop w:val="0"/>
      <w:marBottom w:val="0"/>
      <w:divBdr>
        <w:top w:val="none" w:sz="0" w:space="0" w:color="auto"/>
        <w:left w:val="none" w:sz="0" w:space="0" w:color="auto"/>
        <w:bottom w:val="none" w:sz="0" w:space="0" w:color="auto"/>
        <w:right w:val="none" w:sz="0" w:space="0" w:color="auto"/>
      </w:divBdr>
    </w:div>
    <w:div w:id="642395553">
      <w:bodyDiv w:val="1"/>
      <w:marLeft w:val="0"/>
      <w:marRight w:val="0"/>
      <w:marTop w:val="0"/>
      <w:marBottom w:val="0"/>
      <w:divBdr>
        <w:top w:val="none" w:sz="0" w:space="0" w:color="auto"/>
        <w:left w:val="none" w:sz="0" w:space="0" w:color="auto"/>
        <w:bottom w:val="none" w:sz="0" w:space="0" w:color="auto"/>
        <w:right w:val="none" w:sz="0" w:space="0" w:color="auto"/>
      </w:divBdr>
    </w:div>
    <w:div w:id="90460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w_Pusateri@hsgac.senate.gov"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ianna_puccini@fischer.senate.gov" TargetMode="External"/><Relationship Id="rId12" Type="http://schemas.openxmlformats.org/officeDocument/2006/relationships/hyperlink" Target="http://twitter.com/SenDeanHeller" TargetMode="External"/><Relationship Id="rId17" Type="http://schemas.openxmlformats.org/officeDocument/2006/relationships/image" Target="cid:image005.png@01D07908.A11AC5D0" TargetMode="Externa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cid:image003.png@01D07908.A11AC5D0" TargetMode="External"/><Relationship Id="rId5" Type="http://schemas.openxmlformats.org/officeDocument/2006/relationships/image" Target="cid:image003.png@01D087F1.54D5F300" TargetMode="External"/><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facebook.com/pages/US-Senator-Dean-Heller/325751330177" TargetMode="External"/><Relationship Id="rId14" Type="http://schemas.openxmlformats.org/officeDocument/2006/relationships/image" Target="cid:image004.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Ferraro, Tom (Heller)</dc:creator>
  <cp:keywords/>
  <dc:description/>
  <cp:lastModifiedBy>Garrett, Pat (Heller)</cp:lastModifiedBy>
  <cp:revision>12</cp:revision>
  <cp:lastPrinted>2017-02-08T18:47:00Z</cp:lastPrinted>
  <dcterms:created xsi:type="dcterms:W3CDTF">2017-03-23T14:44:00Z</dcterms:created>
  <dcterms:modified xsi:type="dcterms:W3CDTF">2017-03-23T16:57:00Z</dcterms:modified>
</cp:coreProperties>
</file>