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F7" w:rsidRDefault="00DF21F7" w:rsidP="00DF21F7">
      <w:pPr>
        <w:jc w:val="center"/>
      </w:pPr>
      <w:r>
        <w:rPr>
          <w:rFonts w:ascii="Times New Roman" w:hAnsi="Times New Roman"/>
          <w:noProof/>
          <w:color w:val="1F497D"/>
        </w:rPr>
        <w:drawing>
          <wp:inline distT="0" distB="0" distL="0" distR="0">
            <wp:extent cx="5953125" cy="1266825"/>
            <wp:effectExtent l="0" t="0" r="9525" b="9525"/>
            <wp:docPr id="4" name="Picture 4" descr="cid:image001.png@01D33233.9937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233.993737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DF21F7" w:rsidTr="00DF21F7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1F7" w:rsidRDefault="00DF21F7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1F7" w:rsidRDefault="00DF21F7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Megan Taylor</w:t>
              </w:r>
            </w:hyperlink>
          </w:p>
        </w:tc>
      </w:tr>
      <w:tr w:rsidR="00DF21F7" w:rsidTr="00DF21F7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1F7" w:rsidRDefault="00DF21F7">
            <w:r>
              <w:rPr>
                <w:rFonts w:ascii="Times New Roman" w:hAnsi="Times New Roman"/>
                <w:sz w:val="24"/>
                <w:szCs w:val="24"/>
              </w:rPr>
              <w:t>September 20,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1F7" w:rsidRDefault="00DF21F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DF21F7" w:rsidRDefault="00DF21F7" w:rsidP="00DF21F7">
      <w:pPr>
        <w:shd w:val="clear" w:color="auto" w:fill="FFFFFF"/>
      </w:pPr>
      <w:r>
        <w:rPr>
          <w:rFonts w:ascii="Times New Roman" w:hAnsi="Times New Roman"/>
          <w:b/>
          <w:bCs/>
          <w:sz w:val="36"/>
          <w:szCs w:val="36"/>
        </w:rPr>
        <w:t>  </w:t>
      </w:r>
    </w:p>
    <w:p w:rsidR="00DF21F7" w:rsidRDefault="00DF21F7" w:rsidP="00DF21F7">
      <w:pPr>
        <w:shd w:val="clear" w:color="auto" w:fill="FFFFFF"/>
        <w:jc w:val="center"/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Heller Announces $125,000 Federal Grant to Combat Youth Drug Abuse in Nevada </w:t>
      </w:r>
    </w:p>
    <w:bookmarkEnd w:id="0"/>
    <w:p w:rsidR="00DF21F7" w:rsidRDefault="00DF21F7" w:rsidP="00DF21F7">
      <w:pPr>
        <w:shd w:val="clear" w:color="auto" w:fill="FFFFFF"/>
        <w:jc w:val="center"/>
      </w:pPr>
      <w:r>
        <w:t> </w:t>
      </w:r>
    </w:p>
    <w:p w:rsidR="00DF21F7" w:rsidRDefault="00DF21F7" w:rsidP="00DF21F7"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Today, U.S. Senator Dean Heller (R-NV) welcomed the White House Office of National Drug Control Policy’s (ONDCP’s) announcement that Nevada will receive a $125,000 grant to combat youth drug abuse.   </w:t>
      </w:r>
    </w:p>
    <w:p w:rsidR="00DF21F7" w:rsidRDefault="00DF21F7" w:rsidP="00DF21F7">
      <w:r>
        <w:rPr>
          <w:rFonts w:ascii="Times New Roman" w:hAnsi="Times New Roman"/>
          <w:sz w:val="24"/>
          <w:szCs w:val="24"/>
        </w:rPr>
        <w:t> </w:t>
      </w:r>
    </w:p>
    <w:p w:rsidR="00DF21F7" w:rsidRDefault="00DF21F7" w:rsidP="00DF21F7">
      <w:r>
        <w:rPr>
          <w:rFonts w:ascii="Times New Roman" w:hAnsi="Times New Roman"/>
          <w:sz w:val="24"/>
          <w:szCs w:val="24"/>
        </w:rPr>
        <w:t xml:space="preserve">Churchill Community Coalition in Fallon, Nevada, </w:t>
      </w:r>
      <w:proofErr w:type="gramStart"/>
      <w:r>
        <w:rPr>
          <w:rFonts w:ascii="Times New Roman" w:hAnsi="Times New Roman"/>
          <w:sz w:val="24"/>
          <w:szCs w:val="24"/>
        </w:rPr>
        <w:t>was awarded</w:t>
      </w:r>
      <w:proofErr w:type="gramEnd"/>
      <w:r>
        <w:rPr>
          <w:rFonts w:ascii="Times New Roman" w:hAnsi="Times New Roman"/>
          <w:sz w:val="24"/>
          <w:szCs w:val="24"/>
        </w:rPr>
        <w:t xml:space="preserve"> the federal funds. The continuation grant </w:t>
      </w:r>
      <w:proofErr w:type="gramStart"/>
      <w:r>
        <w:rPr>
          <w:rFonts w:ascii="Times New Roman" w:hAnsi="Times New Roman"/>
          <w:sz w:val="24"/>
          <w:szCs w:val="24"/>
        </w:rPr>
        <w:t>was made</w:t>
      </w:r>
      <w:proofErr w:type="gramEnd"/>
      <w:r>
        <w:rPr>
          <w:rFonts w:ascii="Times New Roman" w:hAnsi="Times New Roman"/>
          <w:sz w:val="24"/>
          <w:szCs w:val="24"/>
        </w:rPr>
        <w:t xml:space="preserve"> possible by the Drug-Free Communities (DFC) Support Program, which is administered by the ONDCP with support from the Substance Abuse and Mental Health Services Administration. </w:t>
      </w:r>
    </w:p>
    <w:p w:rsidR="00DF21F7" w:rsidRDefault="00DF21F7" w:rsidP="00DF21F7">
      <w:r>
        <w:rPr>
          <w:rFonts w:ascii="Times New Roman" w:hAnsi="Times New Roman"/>
          <w:sz w:val="24"/>
          <w:szCs w:val="24"/>
        </w:rPr>
        <w:t> </w:t>
      </w:r>
    </w:p>
    <w:p w:rsidR="00DF21F7" w:rsidRDefault="00DF21F7" w:rsidP="00DF21F7">
      <w:r>
        <w:rPr>
          <w:rFonts w:ascii="Times New Roman" w:hAnsi="Times New Roman"/>
          <w:sz w:val="24"/>
          <w:szCs w:val="24"/>
        </w:rPr>
        <w:t xml:space="preserve">“Nevada’s opioid crisis demands attention, and it is critical we continue to support local efforts on the ground to fight it. That is why I welcome the Office of National Drug Control Policy’s announcement that it will direct much-needed funds to Churchill Community Coalition in Fallon, Nevada,” </w:t>
      </w:r>
      <w:r>
        <w:rPr>
          <w:rFonts w:ascii="Times New Roman" w:hAnsi="Times New Roman"/>
          <w:b/>
          <w:bCs/>
          <w:sz w:val="24"/>
          <w:szCs w:val="24"/>
        </w:rPr>
        <w:t>Heller said.</w:t>
      </w:r>
      <w:r>
        <w:rPr>
          <w:rFonts w:ascii="Times New Roman" w:hAnsi="Times New Roman"/>
          <w:sz w:val="24"/>
          <w:szCs w:val="24"/>
        </w:rPr>
        <w:t xml:space="preserve"> “While this grant is vital to helping our loved ones recover from drug abuse, we still have more work to do, and that includes advancing bipartisan efforts – like the Comprehensive Addiction and Recovery Act proposal that I supported last year – that will help our communities heal.”</w:t>
      </w:r>
    </w:p>
    <w:p w:rsidR="00DF21F7" w:rsidRDefault="00DF21F7" w:rsidP="00DF21F7">
      <w:r>
        <w:rPr>
          <w:rFonts w:ascii="Times New Roman" w:hAnsi="Times New Roman"/>
          <w:sz w:val="24"/>
          <w:szCs w:val="24"/>
        </w:rPr>
        <w:t> </w:t>
      </w:r>
    </w:p>
    <w:p w:rsidR="00DF21F7" w:rsidRDefault="00DF21F7" w:rsidP="00DF21F7">
      <w:r>
        <w:rPr>
          <w:rFonts w:ascii="Times New Roman" w:hAnsi="Times New Roman"/>
          <w:sz w:val="24"/>
          <w:szCs w:val="24"/>
        </w:rPr>
        <w:t xml:space="preserve">Senator Heller voted for the Comprehensive Addiction and Recovery Act, a bipartisan effort to combat opioid addiction by expanding resources, educational efforts, and steps to strengthen law enforcement’s ability to counter the trafficking of illegal drugs. The bill </w:t>
      </w:r>
      <w:proofErr w:type="gramStart"/>
      <w:r>
        <w:rPr>
          <w:rFonts w:ascii="Times New Roman" w:hAnsi="Times New Roman"/>
          <w:sz w:val="24"/>
          <w:szCs w:val="24"/>
        </w:rPr>
        <w:t>was signed</w:t>
      </w:r>
      <w:proofErr w:type="gramEnd"/>
      <w:r>
        <w:rPr>
          <w:rFonts w:ascii="Times New Roman" w:hAnsi="Times New Roman"/>
          <w:sz w:val="24"/>
          <w:szCs w:val="24"/>
        </w:rPr>
        <w:t xml:space="preserve"> into law last July. Additionally, as a member of the U.S. Senate Veterans’ Affairs Committee,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Heller has also pushed for policies to help combat veterans’ addiction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opioids.</w:t>
      </w:r>
    </w:p>
    <w:p w:rsidR="00DF21F7" w:rsidRDefault="00DF21F7" w:rsidP="00DF21F7"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DF21F7" w:rsidRDefault="00DF21F7" w:rsidP="00DF21F7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DF21F7" w:rsidRDefault="00DF21F7" w:rsidP="00DF21F7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###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cid:image002.png@01D33233.9937379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3233.993737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cid:image003.png@01D33233.9937379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3233.993737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cid:image004.png@01D33233.9937379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3233.993737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F7" w:rsidRDefault="00DF21F7" w:rsidP="00DF21F7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DF21F7" w:rsidRDefault="00DF21F7" w:rsidP="00DF21F7"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A6833" w:rsidRDefault="002A6833"/>
    <w:sectPr w:rsidR="002A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F7"/>
    <w:rsid w:val="002A6833"/>
    <w:rsid w:val="00D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59FB1-3424-41DC-9722-3087804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1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3.png@01D33233.993737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videos?ID=50924FB5-50A5-4469-B5AC-0279BF8AA0BC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4.png@01D33233.99373790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cid:image001.png@01D33233.99373790" TargetMode="External"/><Relationship Id="rId15" Type="http://schemas.openxmlformats.org/officeDocument/2006/relationships/image" Target="media/image4.png"/><Relationship Id="rId10" Type="http://schemas.openxmlformats.org/officeDocument/2006/relationships/image" Target="cid:image002.png@01D33233.9937379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1</cp:revision>
  <dcterms:created xsi:type="dcterms:W3CDTF">2018-11-26T16:56:00Z</dcterms:created>
  <dcterms:modified xsi:type="dcterms:W3CDTF">2018-11-26T16:57:00Z</dcterms:modified>
</cp:coreProperties>
</file>