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94" w:rsidRDefault="00406294" w:rsidP="00406294">
      <w:pPr>
        <w:jc w:val="center"/>
      </w:pPr>
      <w:r>
        <w:rPr>
          <w:noProof/>
          <w:color w:val="1F497D"/>
        </w:rPr>
        <w:drawing>
          <wp:inline distT="0" distB="0" distL="0" distR="0">
            <wp:extent cx="5950585" cy="1269365"/>
            <wp:effectExtent l="0" t="0" r="0" b="6985"/>
            <wp:docPr id="4" name="Picture 4" descr="cid:image001.png@01D315C1.644A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5C1.644AA0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406294" w:rsidTr="00406294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94" w:rsidRDefault="00406294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94" w:rsidRDefault="00406294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Megan Taylor</w:t>
              </w:r>
            </w:hyperlink>
          </w:p>
        </w:tc>
      </w:tr>
      <w:tr w:rsidR="00406294" w:rsidTr="00406294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94" w:rsidRDefault="00406294">
            <w:pPr>
              <w:spacing w:line="171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August 15,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94" w:rsidRDefault="00406294">
            <w:pPr>
              <w:spacing w:line="171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406294" w:rsidRDefault="00406294" w:rsidP="00406294">
      <w:pPr>
        <w:shd w:val="clear" w:color="auto" w:fill="FFFFFF"/>
      </w:pPr>
      <w:r>
        <w:rPr>
          <w:rFonts w:ascii="Times New Roman" w:hAnsi="Times New Roman"/>
          <w:b/>
          <w:bCs/>
          <w:sz w:val="36"/>
          <w:szCs w:val="36"/>
        </w:rPr>
        <w:t>  </w:t>
      </w:r>
    </w:p>
    <w:p w:rsidR="00406294" w:rsidRDefault="00406294" w:rsidP="00406294">
      <w:pPr>
        <w:shd w:val="clear" w:color="auto" w:fill="FFFFFF"/>
        <w:jc w:val="center"/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Heller Applauds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Centene’s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Pledge to Offer Health Plans in Nevada’s Bare Counties</w:t>
      </w:r>
    </w:p>
    <w:bookmarkEnd w:id="0"/>
    <w:p w:rsidR="00406294" w:rsidRDefault="00406294" w:rsidP="00406294">
      <w:pPr>
        <w:shd w:val="clear" w:color="auto" w:fill="FFFFFF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406294" w:rsidRDefault="00406294" w:rsidP="00406294">
      <w:r>
        <w:rPr>
          <w:rFonts w:ascii="Times New Roman" w:hAnsi="Times New Roman"/>
          <w:b/>
          <w:bCs/>
          <w:sz w:val="24"/>
          <w:szCs w:val="24"/>
        </w:rPr>
        <w:t>Reno, N.V.</w:t>
      </w:r>
      <w:r>
        <w:rPr>
          <w:rFonts w:ascii="Times New Roman" w:hAnsi="Times New Roman"/>
          <w:sz w:val="24"/>
          <w:szCs w:val="24"/>
        </w:rPr>
        <w:t xml:space="preserve"> – U.S. Senator Dean Heller (R-NV) released the below statement after </w:t>
      </w:r>
      <w:proofErr w:type="spellStart"/>
      <w:r>
        <w:rPr>
          <w:rFonts w:ascii="Times New Roman" w:hAnsi="Times New Roman"/>
          <w:sz w:val="24"/>
          <w:szCs w:val="24"/>
        </w:rPr>
        <w:t>Centene</w:t>
      </w:r>
      <w:proofErr w:type="spellEnd"/>
      <w:r>
        <w:rPr>
          <w:rFonts w:ascii="Times New Roman" w:hAnsi="Times New Roman"/>
          <w:sz w:val="24"/>
          <w:szCs w:val="24"/>
        </w:rPr>
        <w:t xml:space="preserve"> announced today that its Nevada subsidiary, </w:t>
      </w:r>
      <w:proofErr w:type="spellStart"/>
      <w:r>
        <w:rPr>
          <w:rFonts w:ascii="Times New Roman" w:hAnsi="Times New Roman"/>
          <w:sz w:val="24"/>
          <w:szCs w:val="24"/>
        </w:rPr>
        <w:t>SilverSummit</w:t>
      </w:r>
      <w:proofErr w:type="spellEnd"/>
      <w:r>
        <w:rPr>
          <w:rFonts w:ascii="Times New Roman" w:hAnsi="Times New Roman"/>
          <w:sz w:val="24"/>
          <w:szCs w:val="24"/>
        </w:rPr>
        <w:t xml:space="preserve">, will offer plans on Nevada’s health insurance exchange in 2018, ensuring that no county in the state will be at risk of having no insurance options. </w:t>
      </w:r>
    </w:p>
    <w:p w:rsidR="00406294" w:rsidRDefault="00406294" w:rsidP="00406294">
      <w:r>
        <w:rPr>
          <w:rFonts w:ascii="Times New Roman" w:hAnsi="Times New Roman"/>
          <w:sz w:val="24"/>
          <w:szCs w:val="24"/>
        </w:rPr>
        <w:t> </w:t>
      </w:r>
    </w:p>
    <w:p w:rsidR="00406294" w:rsidRDefault="00406294" w:rsidP="00406294">
      <w:r>
        <w:rPr>
          <w:rFonts w:ascii="Times New Roman" w:hAnsi="Times New Roman"/>
          <w:sz w:val="24"/>
          <w:szCs w:val="24"/>
        </w:rPr>
        <w:t xml:space="preserve">“I welcome </w:t>
      </w:r>
      <w:proofErr w:type="spellStart"/>
      <w:r>
        <w:rPr>
          <w:rFonts w:ascii="Times New Roman" w:hAnsi="Times New Roman"/>
          <w:sz w:val="24"/>
          <w:szCs w:val="24"/>
        </w:rPr>
        <w:t>Centene’s</w:t>
      </w:r>
      <w:proofErr w:type="spellEnd"/>
      <w:r>
        <w:rPr>
          <w:rFonts w:ascii="Times New Roman" w:hAnsi="Times New Roman"/>
          <w:sz w:val="24"/>
          <w:szCs w:val="24"/>
        </w:rPr>
        <w:t xml:space="preserve"> announcement that it will offer plans on the Nevada exchange, providing Nevadans with additional health care options so that no county in our state is bare.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was proud to work with Governor Sandoval to make sure that people living in all of Nevada’s 17 counties have the option to purchase coverage on the exchange next year,” </w:t>
      </w:r>
      <w:r>
        <w:rPr>
          <w:rFonts w:ascii="Times New Roman" w:hAnsi="Times New Roman"/>
          <w:b/>
          <w:bCs/>
          <w:sz w:val="24"/>
          <w:szCs w:val="24"/>
        </w:rPr>
        <w:t>said Senator Dean Heller.</w:t>
      </w:r>
      <w:r>
        <w:rPr>
          <w:rFonts w:ascii="Times New Roman" w:hAnsi="Times New Roman"/>
          <w:sz w:val="24"/>
          <w:szCs w:val="24"/>
        </w:rPr>
        <w:t xml:space="preserve"> “Nevadans have been left with dwindling choices when it comes to their health care coverage, and </w:t>
      </w:r>
      <w:proofErr w:type="gramStart"/>
      <w:r>
        <w:rPr>
          <w:rFonts w:ascii="Times New Roman" w:hAnsi="Times New Roman"/>
          <w:sz w:val="24"/>
          <w:szCs w:val="24"/>
        </w:rPr>
        <w:t>it’s</w:t>
      </w:r>
      <w:proofErr w:type="gramEnd"/>
      <w:r>
        <w:rPr>
          <w:rFonts w:ascii="Times New Roman" w:hAnsi="Times New Roman"/>
          <w:sz w:val="24"/>
          <w:szCs w:val="24"/>
        </w:rPr>
        <w:t xml:space="preserve"> more evidence that Obamacare is failing. That’s why I continue to work for health care solutions – like the Graham-Cassidy-Heller plan – that return power to the states, protect Nevada’s most vulnerable, and repeal Obamacare’s onerous mandates that continue to squeeze hardworking Nevadans who can least afford it.”    </w:t>
      </w:r>
    </w:p>
    <w:p w:rsidR="00406294" w:rsidRDefault="00406294" w:rsidP="00406294">
      <w:pPr>
        <w:ind w:right="720"/>
        <w:jc w:val="center"/>
      </w:pPr>
    </w:p>
    <w:p w:rsidR="00406294" w:rsidRDefault="00406294" w:rsidP="00406294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###</w:t>
      </w:r>
      <w:r>
        <w:rPr>
          <w:rFonts w:ascii="Times New Roman" w:hAnsi="Times New Roman"/>
          <w:i/>
          <w:iCs/>
          <w:color w:val="1F497D"/>
          <w:sz w:val="24"/>
          <w:szCs w:val="24"/>
        </w:rPr>
        <w:br/>
      </w:r>
      <w:r>
        <w:rPr>
          <w:rFonts w:ascii="Times New Roman" w:hAnsi="Times New Roman"/>
          <w:i/>
          <w:iCs/>
          <w:color w:val="1F497D"/>
          <w:sz w:val="24"/>
          <w:szCs w:val="24"/>
        </w:rPr>
        <w:br/>
      </w:r>
      <w:r>
        <w:rPr>
          <w:noProof/>
          <w:color w:val="0000FF"/>
        </w:rPr>
        <w:drawing>
          <wp:inline distT="0" distB="0" distL="0" distR="0">
            <wp:extent cx="300355" cy="300355"/>
            <wp:effectExtent l="0" t="0" r="4445" b="4445"/>
            <wp:docPr id="3" name="Picture 3" descr="cid:image002.png@01D315C1.644AA00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15C1.644AA0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0355" cy="300355"/>
            <wp:effectExtent l="0" t="0" r="4445" b="4445"/>
            <wp:docPr id="2" name="Picture 2" descr="cid:image003.png@01D315C1.644AA00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15C1.644AA0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0355" cy="300355"/>
            <wp:effectExtent l="0" t="0" r="4445" b="4445"/>
            <wp:docPr id="1" name="Picture 1" descr="cid:image004.png@01D315C1.644AA00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15C1.644AA0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94" w:rsidRDefault="00406294" w:rsidP="00406294"/>
    <w:p w:rsidR="00406294" w:rsidRDefault="00406294" w:rsidP="00406294"/>
    <w:p w:rsidR="00595BAB" w:rsidRDefault="00595BAB"/>
    <w:sectPr w:rsidR="0059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4"/>
    <w:rsid w:val="00406294"/>
    <w:rsid w:val="005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E6DD2-99D7-4B7F-BC96-2951275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2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3.png@01D315C4.E28D4A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315C4.E28D4A00" TargetMode="External"/><Relationship Id="rId15" Type="http://schemas.openxmlformats.org/officeDocument/2006/relationships/image" Target="cid:image004.png@01D315C4.E28D4A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315C4.E28D4A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1</cp:revision>
  <dcterms:created xsi:type="dcterms:W3CDTF">2017-08-28T18:33:00Z</dcterms:created>
  <dcterms:modified xsi:type="dcterms:W3CDTF">2017-08-28T18:33:00Z</dcterms:modified>
</cp:coreProperties>
</file>