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D0" w:rsidRDefault="00DD3BD0" w:rsidP="00DD3BD0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5943600" cy="1257300"/>
            <wp:effectExtent l="0" t="0" r="0" b="0"/>
            <wp:docPr id="4" name="Picture 4" descr="cid:image001.png@01D36AD0.C38C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AD0.C38CC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DD3BD0" w:rsidTr="00DD3BD0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D0" w:rsidRDefault="00DD3BD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D0" w:rsidRDefault="00DD3BD0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DD3BD0" w:rsidTr="00DD3BD0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D0" w:rsidRDefault="00DD3BD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D0" w:rsidRDefault="00DD3BD0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DD3BD0" w:rsidRDefault="00DD3BD0" w:rsidP="00DD3BD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D3BD0" w:rsidRDefault="00DD3BD0" w:rsidP="00DD3BD0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 xml:space="preserve">Heller Applauds EPA Announcement to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Help Nevada’s Mining Industry</w:t>
      </w:r>
      <w:bookmarkEnd w:id="0"/>
      <w:r>
        <w:rPr>
          <w:rFonts w:ascii="Times New Roman" w:hAnsi="Times New Roman"/>
          <w:b/>
          <w:bCs/>
          <w:sz w:val="36"/>
          <w:szCs w:val="36"/>
        </w:rPr>
        <w:br/>
      </w:r>
      <w:r>
        <w:rPr>
          <w:rFonts w:ascii="Times New Roman" w:hAnsi="Times New Roman"/>
          <w:i/>
          <w:iCs/>
          <w:sz w:val="32"/>
          <w:szCs w:val="32"/>
        </w:rPr>
        <w:t>Follows Heller’s</w:t>
      </w:r>
      <w:proofErr w:type="gramEnd"/>
      <w:r>
        <w:rPr>
          <w:rFonts w:ascii="Times New Roman" w:hAnsi="Times New Roman"/>
          <w:i/>
          <w:iCs/>
          <w:sz w:val="32"/>
          <w:szCs w:val="32"/>
        </w:rPr>
        <w:t xml:space="preserve"> Call for Agency to Eliminate Harmful Obama-Era</w:t>
      </w:r>
      <w:r>
        <w:rPr>
          <w:rFonts w:ascii="Times New Roman" w:hAnsi="Times New Roman"/>
          <w:i/>
          <w:iCs/>
          <w:color w:val="1F497D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Rule</w:t>
      </w:r>
    </w:p>
    <w:p w:rsidR="00DD3BD0" w:rsidRDefault="00DD3BD0" w:rsidP="00DD3BD0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U.S. Senator Dean Heller (R-NV) today applauded the Environmental Protection Agency’s (EPA) announcement that it will eliminate an Obama-era rule that would have expanded EPA’s authority to unnecessarily burden Nevada’s mining industry</w:t>
      </w:r>
      <w:r>
        <w:rPr>
          <w:rFonts w:ascii="Times New Roman" w:hAnsi="Times New Roman"/>
          <w:color w:val="1F497D"/>
          <w:sz w:val="24"/>
          <w:szCs w:val="24"/>
        </w:rPr>
        <w:t xml:space="preserve">. </w:t>
      </w:r>
    </w:p>
    <w:p w:rsidR="00DD3BD0" w:rsidRDefault="00DD3BD0" w:rsidP="00DD3BD0">
      <w:pPr>
        <w:rPr>
          <w:rFonts w:ascii="Times New Roman" w:hAnsi="Times New Roman"/>
          <w:color w:val="1F497D"/>
          <w:sz w:val="24"/>
          <w:szCs w:val="24"/>
        </w:rPr>
      </w:pPr>
    </w:p>
    <w:p w:rsidR="00DD3BD0" w:rsidRDefault="00DD3BD0" w:rsidP="00DD3BD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The announcement comes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after Heller led a July letter with the Senate Western Caucus</w:t>
        </w:r>
      </w:hyperlink>
      <w:r>
        <w:rPr>
          <w:rFonts w:ascii="Times New Roman" w:hAnsi="Times New Roman"/>
          <w:sz w:val="24"/>
          <w:szCs w:val="24"/>
        </w:rPr>
        <w:t xml:space="preserve"> stressing that the “Financial Responsibility Requirements Under the Comprehensive Environmental Response, Compensation and Liability Act (CERCLA) for Classes of Facilities in the </w:t>
      </w:r>
      <w:proofErr w:type="spellStart"/>
      <w:r>
        <w:rPr>
          <w:rFonts w:ascii="Times New Roman" w:hAnsi="Times New Roman"/>
          <w:sz w:val="24"/>
          <w:szCs w:val="24"/>
        </w:rPr>
        <w:t>Hardrock</w:t>
      </w:r>
      <w:proofErr w:type="spellEnd"/>
      <w:r>
        <w:rPr>
          <w:rFonts w:ascii="Times New Roman" w:hAnsi="Times New Roman"/>
          <w:sz w:val="24"/>
          <w:szCs w:val="24"/>
        </w:rPr>
        <w:t xml:space="preserve"> Mining Industry” rule would result in excessive compliance costs and discourage mining companies from investing and providing good-paying jobs to communities that rely on this critical industry.</w:t>
      </w:r>
      <w:proofErr w:type="gramEnd"/>
    </w:p>
    <w:p w:rsidR="00DD3BD0" w:rsidRDefault="00DD3BD0" w:rsidP="00DD3BD0">
      <w:pPr>
        <w:rPr>
          <w:rFonts w:ascii="Times New Roman" w:hAnsi="Times New Roman"/>
          <w:sz w:val="24"/>
          <w:szCs w:val="24"/>
        </w:rPr>
      </w:pPr>
    </w:p>
    <w:p w:rsidR="00DD3BD0" w:rsidRDefault="00DD3BD0" w:rsidP="00DD3BD0">
      <w:r>
        <w:rPr>
          <w:rFonts w:ascii="Times New Roman" w:hAnsi="Times New Roman"/>
          <w:sz w:val="24"/>
          <w:szCs w:val="24"/>
        </w:rPr>
        <w:t xml:space="preserve">“The Environmental Protection Agency’s decision today is a win for Nevada’s mining industry, which helps employ nearly 25,000 workers in our state alone,” </w:t>
      </w:r>
      <w:r>
        <w:rPr>
          <w:rFonts w:ascii="Times New Roman" w:hAnsi="Times New Roman"/>
          <w:b/>
          <w:bCs/>
          <w:sz w:val="24"/>
          <w:szCs w:val="24"/>
        </w:rPr>
        <w:t>said Heller.</w:t>
      </w:r>
      <w:r>
        <w:rPr>
          <w:rFonts w:ascii="Times New Roman" w:hAnsi="Times New Roman"/>
          <w:sz w:val="24"/>
          <w:szCs w:val="24"/>
        </w:rPr>
        <w:t xml:space="preserve"> “The CERCLA rule would have discouraged investment, development, and job creation in the very communities that rely on this industry. I was proud to have led the congressional effort against this anti-mining, government-overreach rule and I’m thankful Administrator Scott Pruitt recognized its harmful economic impact.”</w:t>
      </w:r>
    </w:p>
    <w:p w:rsidR="00DD3BD0" w:rsidRDefault="00DD3BD0" w:rsidP="00DD3BD0">
      <w:r>
        <w:t> </w:t>
      </w:r>
      <w:r>
        <w:rPr>
          <w:rFonts w:ascii="Times New Roman" w:hAnsi="Times New Roman"/>
          <w:sz w:val="24"/>
          <w:szCs w:val="24"/>
        </w:rPr>
        <w:t> </w:t>
      </w:r>
    </w:p>
    <w:p w:rsidR="00DD3BD0" w:rsidRDefault="00DD3BD0" w:rsidP="00DD3BD0">
      <w:r>
        <w:rPr>
          <w:rFonts w:ascii="Times New Roman" w:hAnsi="Times New Roman"/>
          <w:sz w:val="24"/>
          <w:szCs w:val="24"/>
        </w:rPr>
        <w:t xml:space="preserve">Earlier this year, Heller also urged the EPA to allow </w:t>
      </w:r>
      <w:proofErr w:type="gramStart"/>
      <w:r>
        <w:rPr>
          <w:rFonts w:ascii="Times New Roman" w:hAnsi="Times New Roman"/>
          <w:sz w:val="24"/>
          <w:szCs w:val="24"/>
        </w:rPr>
        <w:t>for additional</w:t>
      </w:r>
      <w:proofErr w:type="gramEnd"/>
      <w:r>
        <w:rPr>
          <w:rFonts w:ascii="Times New Roman" w:hAnsi="Times New Roman"/>
          <w:sz w:val="24"/>
          <w:szCs w:val="24"/>
        </w:rPr>
        <w:t xml:space="preserve"> time to review the impact this rule would have on the mining industry. As a result, the </w:t>
      </w:r>
      <w:hyperlink r:id="rId8" w:history="1">
        <w:r>
          <w:rPr>
            <w:rStyle w:val="Hyperlink"/>
            <w:rFonts w:ascii="Times New Roman" w:hAnsi="Times New Roman"/>
            <w:color w:val="1F497D"/>
            <w:sz w:val="24"/>
            <w:szCs w:val="24"/>
          </w:rPr>
          <w:t>EPA extended the comment period from 60 days to 120 days</w:t>
        </w:r>
      </w:hyperlink>
      <w:r>
        <w:rPr>
          <w:rFonts w:ascii="Times New Roman" w:hAnsi="Times New Roman"/>
          <w:sz w:val="24"/>
          <w:szCs w:val="24"/>
        </w:rPr>
        <w:t xml:space="preserve"> and Heller and his colleagues welcomed the opportunity to express their concerns and encourage their constituents to make their voices heard. </w:t>
      </w:r>
    </w:p>
    <w:p w:rsidR="00DD3BD0" w:rsidRDefault="00DD3BD0" w:rsidP="00DD3BD0">
      <w:r>
        <w:rPr>
          <w:color w:val="1F497D"/>
        </w:rPr>
        <w:t> </w:t>
      </w:r>
    </w:p>
    <w:p w:rsidR="00DD3BD0" w:rsidRDefault="00DD3BD0" w:rsidP="00DD3BD0">
      <w:pPr>
        <w:jc w:val="center"/>
      </w:pPr>
      <w:r>
        <w:rPr>
          <w:rFonts w:ascii="Times New Roman" w:hAnsi="Times New Roman"/>
          <w:sz w:val="24"/>
          <w:szCs w:val="24"/>
        </w:rPr>
        <w:t>###</w:t>
      </w:r>
    </w:p>
    <w:p w:rsidR="00DD3BD0" w:rsidRDefault="00DD3BD0" w:rsidP="00DD3BD0">
      <w:pPr>
        <w:shd w:val="clear" w:color="auto" w:fill="FFFFFF"/>
      </w:pPr>
      <w:r>
        <w:rPr>
          <w:rFonts w:ascii="Times New Roman" w:hAnsi="Times New Roman"/>
          <w:sz w:val="24"/>
          <w:szCs w:val="24"/>
        </w:rPr>
        <w:t> </w:t>
      </w:r>
    </w:p>
    <w:p w:rsidR="00DD3BD0" w:rsidRDefault="00DD3BD0" w:rsidP="00DD3BD0">
      <w:pPr>
        <w:shd w:val="clear" w:color="auto" w:fill="FFFFFF"/>
        <w:jc w:val="center"/>
        <w:rPr>
          <w:color w:val="1F497D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3" name="Picture 3" descr="cid:image002.png@01D36AD0.C38CC20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6AD0.C38CC2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2" name="Picture 2" descr="cid:image003.png@01D36AD0.C38CC20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6AD0.C38CC2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Picture 1" descr="cid:image004.png@01D36AD0.C38CC20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6AD0.C38CC2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D0" w:rsidRDefault="00DD3BD0" w:rsidP="00DD3BD0"/>
    <w:p w:rsidR="00E80E31" w:rsidRDefault="00DD3BD0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D0"/>
    <w:rsid w:val="00634C75"/>
    <w:rsid w:val="008E7022"/>
    <w:rsid w:val="00A81AF1"/>
    <w:rsid w:val="00B945D8"/>
    <w:rsid w:val="00DD3BD0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02BFE-D854-49D7-8BCC-F43D59EA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D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B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2017/2/heller-and-barrasso-praise-extension-of-comment-period-for-epa-s-proposed-mining-rule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2017/7/heller-to-epa-end-unnecessary-obama-era-rule-that-could-harm-nevada-s-mining-industry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4.png@01D36AD0.C38CC20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cid:image002.png@01D36AD0.C38CC200" TargetMode="External"/><Relationship Id="rId5" Type="http://schemas.openxmlformats.org/officeDocument/2006/relationships/image" Target="cid:image001.png@01D36AD0.C38CC200" TargetMode="Externa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3.png@01D36AD0.C38CC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United States Senate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2018-11-27T22:46:00Z</dcterms:created>
  <dcterms:modified xsi:type="dcterms:W3CDTF">2018-11-27T22:46:00Z</dcterms:modified>
</cp:coreProperties>
</file>