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ED" w:rsidRDefault="00A350ED" w:rsidP="00A350ED">
      <w:pPr>
        <w:jc w:val="center"/>
        <w:rPr>
          <w:rFonts w:ascii="Times" w:hAnsi="Times"/>
          <w:b/>
          <w:bCs/>
          <w:color w:val="1F497D"/>
        </w:rPr>
      </w:pPr>
      <w:r>
        <w:rPr>
          <w:rFonts w:ascii="Times" w:hAnsi="Times"/>
          <w:b/>
          <w:bCs/>
          <w:noProof/>
          <w:color w:val="1F497D"/>
        </w:rPr>
        <w:drawing>
          <wp:inline distT="0" distB="0" distL="0" distR="0">
            <wp:extent cx="5953125" cy="1257300"/>
            <wp:effectExtent l="0" t="0" r="9525" b="0"/>
            <wp:docPr id="2" name="Picture 2" descr="cid:image001.png@01D3C101.A544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C101.A54496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350ED" w:rsidTr="00A350ED">
        <w:trPr>
          <w:trHeight w:val="270"/>
          <w:jc w:val="center"/>
        </w:trPr>
        <w:tc>
          <w:tcPr>
            <w:tcW w:w="5181" w:type="dxa"/>
            <w:tcMar>
              <w:top w:w="0" w:type="dxa"/>
              <w:left w:w="108" w:type="dxa"/>
              <w:bottom w:w="0" w:type="dxa"/>
              <w:right w:w="108" w:type="dxa"/>
            </w:tcMar>
            <w:hideMark/>
          </w:tcPr>
          <w:p w:rsidR="00A350ED" w:rsidRDefault="00A350ED">
            <w:pPr>
              <w:spacing w:line="231" w:lineRule="atLeast"/>
            </w:pPr>
            <w:r>
              <w:rPr>
                <w:rFonts w:ascii="Times" w:hAnsi="Times"/>
              </w:rPr>
              <w:t>For Immediate Release:</w:t>
            </w:r>
          </w:p>
        </w:tc>
        <w:tc>
          <w:tcPr>
            <w:tcW w:w="4179" w:type="dxa"/>
            <w:tcMar>
              <w:top w:w="0" w:type="dxa"/>
              <w:left w:w="108" w:type="dxa"/>
              <w:bottom w:w="0" w:type="dxa"/>
              <w:right w:w="108" w:type="dxa"/>
            </w:tcMar>
            <w:hideMark/>
          </w:tcPr>
          <w:p w:rsidR="00A350ED" w:rsidRDefault="00A350ED">
            <w:pPr>
              <w:spacing w:line="231" w:lineRule="atLeast"/>
              <w:jc w:val="right"/>
            </w:pPr>
            <w:r>
              <w:rPr>
                <w:rFonts w:ascii="Times" w:hAnsi="Times"/>
                <w:b/>
                <w:bCs/>
              </w:rPr>
              <w:t>Contact:</w:t>
            </w:r>
            <w:r>
              <w:rPr>
                <w:rStyle w:val="apple-converted-space"/>
                <w:rFonts w:ascii="Times" w:hAnsi="Times"/>
                <w:b/>
                <w:bCs/>
              </w:rPr>
              <w:t> </w:t>
            </w:r>
            <w:hyperlink r:id="rId6" w:history="1">
              <w:r>
                <w:rPr>
                  <w:rStyle w:val="Hyperlink"/>
                  <w:rFonts w:ascii="Times" w:hAnsi="Times"/>
                </w:rPr>
                <w:t>Megan Taylor</w:t>
              </w:r>
            </w:hyperlink>
          </w:p>
        </w:tc>
      </w:tr>
      <w:tr w:rsidR="00A350ED" w:rsidTr="00A350ED">
        <w:trPr>
          <w:trHeight w:val="360"/>
          <w:jc w:val="center"/>
        </w:trPr>
        <w:tc>
          <w:tcPr>
            <w:tcW w:w="5181" w:type="dxa"/>
            <w:tcMar>
              <w:top w:w="0" w:type="dxa"/>
              <w:left w:w="108" w:type="dxa"/>
              <w:bottom w:w="0" w:type="dxa"/>
              <w:right w:w="108" w:type="dxa"/>
            </w:tcMar>
            <w:hideMark/>
          </w:tcPr>
          <w:p w:rsidR="00A350ED" w:rsidRDefault="00A350ED">
            <w:pPr>
              <w:spacing w:line="231" w:lineRule="atLeast"/>
            </w:pPr>
            <w:r>
              <w:rPr>
                <w:rFonts w:ascii="Times" w:hAnsi="Times"/>
              </w:rPr>
              <w:t>March 21</w:t>
            </w:r>
            <w:r>
              <w:rPr>
                <w:rFonts w:ascii="Times" w:hAnsi="Times"/>
                <w:vertAlign w:val="superscript"/>
              </w:rPr>
              <w:t>st</w:t>
            </w:r>
            <w:r>
              <w:rPr>
                <w:rFonts w:ascii="Times" w:hAnsi="Times"/>
              </w:rPr>
              <w:t>, 2018</w:t>
            </w:r>
          </w:p>
        </w:tc>
        <w:tc>
          <w:tcPr>
            <w:tcW w:w="4179" w:type="dxa"/>
            <w:tcMar>
              <w:top w:w="0" w:type="dxa"/>
              <w:left w:w="108" w:type="dxa"/>
              <w:bottom w:w="0" w:type="dxa"/>
              <w:right w:w="108" w:type="dxa"/>
            </w:tcMar>
            <w:hideMark/>
          </w:tcPr>
          <w:p w:rsidR="00A350ED" w:rsidRDefault="00A350ED">
            <w:pPr>
              <w:spacing w:line="231" w:lineRule="atLeast"/>
              <w:jc w:val="right"/>
            </w:pPr>
            <w:r>
              <w:rPr>
                <w:rFonts w:ascii="Times" w:hAnsi="Times"/>
              </w:rPr>
              <w:t>202-224-6244</w:t>
            </w:r>
          </w:p>
        </w:tc>
      </w:tr>
    </w:tbl>
    <w:p w:rsidR="00A350ED" w:rsidRDefault="00A350ED" w:rsidP="00A350ED">
      <w:pPr>
        <w:rPr>
          <w:rFonts w:ascii="Times" w:hAnsi="Times"/>
          <w:b/>
          <w:bCs/>
          <w:color w:val="000000"/>
          <w:sz w:val="36"/>
          <w:szCs w:val="36"/>
        </w:rPr>
      </w:pPr>
    </w:p>
    <w:p w:rsidR="00A350ED" w:rsidRDefault="00A350ED" w:rsidP="00A350ED">
      <w:pPr>
        <w:jc w:val="center"/>
      </w:pPr>
      <w:bookmarkStart w:id="0" w:name="_GoBack"/>
      <w:r>
        <w:rPr>
          <w:rFonts w:ascii="Times" w:hAnsi="Times"/>
          <w:b/>
          <w:bCs/>
          <w:color w:val="000000"/>
          <w:sz w:val="36"/>
          <w:szCs w:val="36"/>
        </w:rPr>
        <w:t>Heller Ensures Efforts to Revive Yucca Mountain Stopped by Spending Bill</w:t>
      </w:r>
    </w:p>
    <w:bookmarkEnd w:id="0"/>
    <w:p w:rsidR="00A350ED" w:rsidRDefault="00A350ED" w:rsidP="00A350ED">
      <w:pPr>
        <w:jc w:val="center"/>
      </w:pPr>
      <w:r>
        <w:rPr>
          <w:rFonts w:ascii="Times" w:hAnsi="Times"/>
          <w:i/>
          <w:iCs/>
          <w:color w:val="000000"/>
          <w:sz w:val="32"/>
          <w:szCs w:val="32"/>
        </w:rPr>
        <w:t>FY2018 Omnibus Does Not Include Funding For Licensing Activities at Yucca Mountain</w:t>
      </w:r>
    </w:p>
    <w:p w:rsidR="00A350ED" w:rsidRDefault="00A350ED" w:rsidP="00A350ED">
      <w:r>
        <w:rPr>
          <w:rFonts w:ascii="Times" w:hAnsi="Times"/>
          <w:b/>
          <w:bCs/>
          <w:color w:val="000000"/>
        </w:rPr>
        <w:t> </w:t>
      </w:r>
    </w:p>
    <w:p w:rsidR="00A350ED" w:rsidRDefault="00A350ED" w:rsidP="00A350ED">
      <w:r>
        <w:rPr>
          <w:rFonts w:ascii="Times" w:hAnsi="Times"/>
          <w:b/>
          <w:bCs/>
          <w:color w:val="000000"/>
        </w:rPr>
        <w:t>WASHINGTON, D.C.</w:t>
      </w:r>
      <w:r>
        <w:rPr>
          <w:rStyle w:val="apple-converted-space"/>
          <w:rFonts w:ascii="Times" w:hAnsi="Times"/>
          <w:color w:val="000000"/>
        </w:rPr>
        <w:t> </w:t>
      </w:r>
      <w:r>
        <w:rPr>
          <w:rFonts w:ascii="Times" w:hAnsi="Times"/>
          <w:color w:val="000000"/>
        </w:rPr>
        <w:t>– U.S. Senator Dean Heller (R-NV) today announced that the FY2018 omnibus spending measure does not include</w:t>
      </w:r>
      <w:r>
        <w:rPr>
          <w:rStyle w:val="apple-converted-space"/>
          <w:rFonts w:ascii="Times" w:hAnsi="Times"/>
          <w:color w:val="000000"/>
        </w:rPr>
        <w:t> </w:t>
      </w:r>
      <w:r>
        <w:rPr>
          <w:rFonts w:ascii="Times" w:hAnsi="Times"/>
          <w:color w:val="313131"/>
          <w:shd w:val="clear" w:color="auto" w:fill="FFFFFF"/>
        </w:rPr>
        <w:t>the</w:t>
      </w:r>
      <w:r>
        <w:rPr>
          <w:rStyle w:val="apple-converted-space"/>
          <w:rFonts w:ascii="Times" w:hAnsi="Times"/>
          <w:color w:val="313131"/>
          <w:shd w:val="clear" w:color="auto" w:fill="FFFFFF"/>
        </w:rPr>
        <w:t> </w:t>
      </w:r>
      <w:hyperlink r:id="rId7" w:history="1">
        <w:r>
          <w:rPr>
            <w:rStyle w:val="Hyperlink"/>
            <w:rFonts w:ascii="Times" w:hAnsi="Times"/>
            <w:color w:val="954F72"/>
            <w:shd w:val="clear" w:color="auto" w:fill="FFFFFF"/>
          </w:rPr>
          <w:t>$150 million requested by the Department of Energy (DOE) and the Nuclear Regulatory Commission (NRC) to support and fund licensing activities at the Yucca Mountain nuclear repository</w:t>
        </w:r>
      </w:hyperlink>
      <w:r>
        <w:rPr>
          <w:rFonts w:ascii="Times" w:hAnsi="Times"/>
          <w:color w:val="313131"/>
          <w:shd w:val="clear" w:color="auto" w:fill="FFFFFF"/>
        </w:rPr>
        <w:t>.</w:t>
      </w:r>
      <w:r>
        <w:rPr>
          <w:rStyle w:val="apple-converted-space"/>
          <w:rFonts w:ascii="Times" w:hAnsi="Times"/>
          <w:color w:val="313131"/>
          <w:shd w:val="clear" w:color="auto" w:fill="FFFFFF"/>
        </w:rPr>
        <w:t> </w:t>
      </w:r>
      <w:r>
        <w:rPr>
          <w:rFonts w:ascii="Times" w:hAnsi="Times"/>
          <w:color w:val="000000"/>
          <w:shd w:val="clear" w:color="auto" w:fill="FFFFFF"/>
        </w:rPr>
        <w:t>Heller has repeatedly expressed Nevada’s strong opposition to the failed Yucca Mountain project to Administration officials as well as his colleagues who are members of the committees of jurisdiction.</w:t>
      </w:r>
      <w:r>
        <w:rPr>
          <w:rStyle w:val="apple-converted-space"/>
          <w:rFonts w:ascii="Times" w:hAnsi="Times"/>
          <w:color w:val="000000"/>
          <w:shd w:val="clear" w:color="auto" w:fill="FFFFFF"/>
        </w:rPr>
        <w:t> </w:t>
      </w:r>
    </w:p>
    <w:p w:rsidR="00A350ED" w:rsidRDefault="00A350ED" w:rsidP="00A350ED">
      <w:r>
        <w:rPr>
          <w:rFonts w:ascii="Times" w:hAnsi="Times"/>
          <w:color w:val="000000"/>
          <w:shd w:val="clear" w:color="auto" w:fill="FFFFFF"/>
        </w:rPr>
        <w:t> </w:t>
      </w:r>
    </w:p>
    <w:p w:rsidR="00A350ED" w:rsidRDefault="00A350ED" w:rsidP="00A350ED">
      <w:r>
        <w:rPr>
          <w:rFonts w:ascii="Times" w:hAnsi="Times"/>
          <w:color w:val="000000"/>
          <w:shd w:val="clear" w:color="auto" w:fill="FFFFFF"/>
        </w:rPr>
        <w:t>Even though the U.S. House of Representatives </w:t>
      </w:r>
      <w:hyperlink r:id="rId8" w:history="1">
        <w:proofErr w:type="gramStart"/>
        <w:r>
          <w:rPr>
            <w:rStyle w:val="Hyperlink"/>
            <w:rFonts w:ascii="Times" w:hAnsi="Times"/>
            <w:color w:val="954F72"/>
            <w:bdr w:val="none" w:sz="0" w:space="0" w:color="auto" w:frame="1"/>
            <w:shd w:val="clear" w:color="auto" w:fill="FFFFFF"/>
          </w:rPr>
          <w:t>advanced</w:t>
        </w:r>
        <w:proofErr w:type="gramEnd"/>
      </w:hyperlink>
      <w:r>
        <w:rPr>
          <w:rStyle w:val="apple-converted-space"/>
          <w:rFonts w:ascii="Times" w:hAnsi="Times"/>
          <w:color w:val="000000"/>
          <w:bdr w:val="none" w:sz="0" w:space="0" w:color="auto" w:frame="1"/>
          <w:shd w:val="clear" w:color="auto" w:fill="FFFFFF"/>
        </w:rPr>
        <w:t> </w:t>
      </w:r>
      <w:r>
        <w:rPr>
          <w:rFonts w:ascii="Times" w:hAnsi="Times"/>
          <w:color w:val="000000"/>
          <w:shd w:val="clear" w:color="auto" w:fill="FFFFFF"/>
        </w:rPr>
        <w:t>funding aimed at jumpstarting Yucca Mountain, Heller was able to ensure that the U.S. Senate Appropriations Committee</w:t>
      </w:r>
      <w:r>
        <w:rPr>
          <w:rStyle w:val="apple-converted-space"/>
          <w:rFonts w:ascii="Times" w:hAnsi="Times"/>
          <w:color w:val="000000"/>
          <w:shd w:val="clear" w:color="auto" w:fill="FFFFFF"/>
        </w:rPr>
        <w:t> </w:t>
      </w:r>
      <w:hyperlink r:id="rId9" w:history="1">
        <w:r>
          <w:rPr>
            <w:rStyle w:val="Hyperlink"/>
            <w:rFonts w:ascii="Times" w:hAnsi="Times"/>
            <w:color w:val="1F497D"/>
            <w:shd w:val="clear" w:color="auto" w:fill="FFFFFF"/>
          </w:rPr>
          <w:t>did</w:t>
        </w:r>
        <w:r>
          <w:rPr>
            <w:rStyle w:val="apple-converted-space"/>
            <w:rFonts w:ascii="Times" w:hAnsi="Times"/>
            <w:color w:val="954F72"/>
            <w:shd w:val="clear" w:color="auto" w:fill="FFFFFF"/>
          </w:rPr>
          <w:t> </w:t>
        </w:r>
        <w:r>
          <w:rPr>
            <w:rStyle w:val="Hyperlink"/>
            <w:rFonts w:ascii="Times" w:hAnsi="Times"/>
            <w:color w:val="954F72"/>
            <w:shd w:val="clear" w:color="auto" w:fill="FFFFFF"/>
          </w:rPr>
          <w:t>not include</w:t>
        </w:r>
        <w:r>
          <w:rPr>
            <w:rStyle w:val="apple-converted-space"/>
            <w:rFonts w:ascii="Times" w:hAnsi="Times"/>
            <w:color w:val="954F72"/>
            <w:shd w:val="clear" w:color="auto" w:fill="FFFFFF"/>
          </w:rPr>
          <w:t> </w:t>
        </w:r>
        <w:r>
          <w:rPr>
            <w:rStyle w:val="Hyperlink"/>
            <w:rFonts w:ascii="Times" w:hAnsi="Times"/>
            <w:color w:val="954F72"/>
            <w:bdr w:val="none" w:sz="0" w:space="0" w:color="auto" w:frame="1"/>
            <w:shd w:val="clear" w:color="auto" w:fill="FFFFFF"/>
          </w:rPr>
          <w:t>any funding for the project</w:t>
        </w:r>
        <w:r>
          <w:rPr>
            <w:rStyle w:val="apple-converted-space"/>
            <w:rFonts w:ascii="Times" w:hAnsi="Times"/>
            <w:color w:val="954F72"/>
            <w:shd w:val="clear" w:color="auto" w:fill="FFFFFF"/>
          </w:rPr>
          <w:t> </w:t>
        </w:r>
        <w:r>
          <w:rPr>
            <w:rStyle w:val="Hyperlink"/>
            <w:rFonts w:ascii="Times" w:hAnsi="Times"/>
            <w:color w:val="954F72"/>
            <w:shd w:val="clear" w:color="auto" w:fill="FFFFFF"/>
          </w:rPr>
          <w:t>in its Energy and Water Appropriations Bill</w:t>
        </w:r>
      </w:hyperlink>
      <w:r>
        <w:rPr>
          <w:rFonts w:ascii="Times" w:hAnsi="Times"/>
          <w:color w:val="313131"/>
          <w:shd w:val="clear" w:color="auto" w:fill="FFFFFF"/>
        </w:rPr>
        <w:t>. Earlier this month,</w:t>
      </w:r>
      <w:r>
        <w:rPr>
          <w:rStyle w:val="apple-converted-space"/>
          <w:rFonts w:ascii="Times" w:hAnsi="Times"/>
          <w:color w:val="313131"/>
          <w:shd w:val="clear" w:color="auto" w:fill="FFFFFF"/>
        </w:rPr>
        <w:t> </w:t>
      </w:r>
      <w:r>
        <w:rPr>
          <w:rFonts w:ascii="Times" w:hAnsi="Times"/>
          <w:color w:val="000000"/>
        </w:rPr>
        <w:t xml:space="preserve">it </w:t>
      </w:r>
      <w:proofErr w:type="gramStart"/>
      <w:r>
        <w:rPr>
          <w:rFonts w:ascii="Times" w:hAnsi="Times"/>
          <w:color w:val="000000"/>
        </w:rPr>
        <w:t>was</w:t>
      </w:r>
      <w:r>
        <w:rPr>
          <w:rStyle w:val="apple-converted-space"/>
          <w:rFonts w:ascii="Times" w:hAnsi="Times"/>
          <w:color w:val="000000"/>
        </w:rPr>
        <w:t> </w:t>
      </w:r>
      <w:hyperlink r:id="rId10" w:history="1">
        <w:r>
          <w:rPr>
            <w:rStyle w:val="Hyperlink"/>
            <w:rFonts w:ascii="Times" w:hAnsi="Times"/>
            <w:color w:val="954F72"/>
          </w:rPr>
          <w:t>reported</w:t>
        </w:r>
        <w:proofErr w:type="gramEnd"/>
      </w:hyperlink>
      <w:r>
        <w:rPr>
          <w:rStyle w:val="apple-converted-space"/>
          <w:rFonts w:ascii="Times" w:hAnsi="Times"/>
          <w:color w:val="000000"/>
        </w:rPr>
        <w:t> </w:t>
      </w:r>
      <w:r>
        <w:rPr>
          <w:rFonts w:ascii="Times" w:hAnsi="Times"/>
          <w:color w:val="000000"/>
        </w:rPr>
        <w:t>that the Chairman of the U.S. House of Representatives Energy and Water Development Appropriations Subcommittee signaled that the spending package would not include Yucca Mountain because of objection from the U.S. Senate.</w:t>
      </w:r>
    </w:p>
    <w:p w:rsidR="00A350ED" w:rsidRDefault="00A350ED" w:rsidP="00A350ED">
      <w:r>
        <w:rPr>
          <w:rFonts w:ascii="Times" w:hAnsi="Times"/>
          <w:color w:val="313131"/>
          <w:shd w:val="clear" w:color="auto" w:fill="FFFFFF"/>
        </w:rPr>
        <w:t> </w:t>
      </w:r>
    </w:p>
    <w:p w:rsidR="00A350ED" w:rsidRDefault="00A350ED" w:rsidP="00A350ED">
      <w:r>
        <w:rPr>
          <w:rFonts w:ascii="Times" w:hAnsi="Times"/>
          <w:color w:val="000000"/>
        </w:rPr>
        <w:t>“I worked to ensure that funding to revive the Yucca Mountain project was excluded from this spending bill, and I’m pleased that Nevada’s message was heard. Just last week, I had the opportunity to question Secretary Perry about his efforts to resume the licensing process at Yucca Mountain, and I doubled down on my fight to ensure that the failed project doesn’t see the light of day,”</w:t>
      </w:r>
      <w:r>
        <w:rPr>
          <w:rStyle w:val="apple-converted-space"/>
          <w:rFonts w:ascii="Times" w:hAnsi="Times"/>
          <w:color w:val="000000"/>
        </w:rPr>
        <w:t> </w:t>
      </w:r>
      <w:r>
        <w:rPr>
          <w:rFonts w:ascii="Times" w:hAnsi="Times"/>
          <w:b/>
          <w:bCs/>
          <w:color w:val="000000"/>
        </w:rPr>
        <w:t>said Heller.</w:t>
      </w:r>
      <w:r>
        <w:rPr>
          <w:rStyle w:val="apple-converted-space"/>
          <w:rFonts w:ascii="Times" w:hAnsi="Times"/>
          <w:color w:val="000000"/>
        </w:rPr>
        <w:t> </w:t>
      </w:r>
      <w:r>
        <w:rPr>
          <w:rFonts w:ascii="Times" w:hAnsi="Times"/>
          <w:color w:val="000000"/>
        </w:rPr>
        <w:t>“While this is a positive development, my work to stop Yucca Mountain is far from over. That is why I will continue to tell Washington, D.C. that Nevada will not turn into the nation’s nuclear waste dump.”</w:t>
      </w:r>
    </w:p>
    <w:p w:rsidR="00A350ED" w:rsidRDefault="00A350ED" w:rsidP="00A350ED">
      <w:r>
        <w:rPr>
          <w:rFonts w:ascii="Times" w:hAnsi="Times"/>
          <w:color w:val="000000"/>
        </w:rPr>
        <w:t> </w:t>
      </w:r>
    </w:p>
    <w:p w:rsidR="00A350ED" w:rsidRDefault="00A350ED" w:rsidP="00A350ED">
      <w:r>
        <w:rPr>
          <w:rFonts w:ascii="Times" w:hAnsi="Times"/>
          <w:color w:val="000000"/>
        </w:rPr>
        <w:t>Last week, Heller discussed DOE’s budget request</w:t>
      </w:r>
      <w:r>
        <w:rPr>
          <w:rStyle w:val="apple-converted-space"/>
          <w:rFonts w:ascii="Times" w:hAnsi="Times"/>
          <w:color w:val="1F497D"/>
        </w:rPr>
        <w:t> </w:t>
      </w:r>
      <w:r>
        <w:rPr>
          <w:rFonts w:ascii="Times" w:hAnsi="Times"/>
          <w:color w:val="000000"/>
        </w:rPr>
        <w:t>with Secretary Perry</w:t>
      </w:r>
      <w:r>
        <w:rPr>
          <w:rStyle w:val="apple-converted-space"/>
          <w:rFonts w:ascii="Times" w:hAnsi="Times"/>
          <w:color w:val="1F497D"/>
        </w:rPr>
        <w:t> </w:t>
      </w:r>
      <w:r>
        <w:rPr>
          <w:rFonts w:ascii="Times" w:hAnsi="Times"/>
          <w:color w:val="000000"/>
        </w:rPr>
        <w:t xml:space="preserve">at a U.S. Senate Commerce, Science, and Transportation hearing. Heller noted that the $120 million requested to fund licensing activities at Yucca Mountain </w:t>
      </w:r>
      <w:proofErr w:type="gramStart"/>
      <w:r>
        <w:rPr>
          <w:rFonts w:ascii="Times" w:hAnsi="Times"/>
          <w:color w:val="000000"/>
        </w:rPr>
        <w:t>was denied</w:t>
      </w:r>
      <w:proofErr w:type="gramEnd"/>
      <w:r>
        <w:rPr>
          <w:rFonts w:ascii="Times" w:hAnsi="Times"/>
          <w:color w:val="000000"/>
        </w:rPr>
        <w:t xml:space="preserve"> last year and that it will be denied again this year. He asked the Secretary if he anticipates making the same request again for the next fiscal year. Secretary Perry suggested that in </w:t>
      </w:r>
      <w:proofErr w:type="gramStart"/>
      <w:r>
        <w:rPr>
          <w:rFonts w:ascii="Times" w:hAnsi="Times"/>
          <w:color w:val="000000"/>
        </w:rPr>
        <w:t>2019</w:t>
      </w:r>
      <w:proofErr w:type="gramEnd"/>
      <w:r>
        <w:rPr>
          <w:rFonts w:ascii="Times" w:hAnsi="Times"/>
          <w:color w:val="000000"/>
        </w:rPr>
        <w:t xml:space="preserve"> that agency will make the same funding request, but he added that he “suspect(s) the result will probably be about the same." You may watch the exchange between Secretary Perry and Heller by clicking</w:t>
      </w:r>
      <w:r>
        <w:rPr>
          <w:rStyle w:val="apple-converted-space"/>
          <w:rFonts w:ascii="Times" w:hAnsi="Times"/>
          <w:color w:val="000000"/>
        </w:rPr>
        <w:t> </w:t>
      </w:r>
      <w:hyperlink r:id="rId11" w:history="1">
        <w:r>
          <w:rPr>
            <w:rStyle w:val="Hyperlink"/>
            <w:rFonts w:ascii="Times" w:hAnsi="Times"/>
            <w:color w:val="954F72"/>
          </w:rPr>
          <w:t>here</w:t>
        </w:r>
      </w:hyperlink>
      <w:r>
        <w:rPr>
          <w:rStyle w:val="apple-converted-space"/>
          <w:rFonts w:ascii="Times" w:hAnsi="Times"/>
          <w:color w:val="000000"/>
        </w:rPr>
        <w:t> </w:t>
      </w:r>
      <w:r>
        <w:rPr>
          <w:rFonts w:ascii="Times" w:hAnsi="Times"/>
          <w:color w:val="000000"/>
        </w:rPr>
        <w:t>or on the image below.</w:t>
      </w:r>
    </w:p>
    <w:p w:rsidR="00A350ED" w:rsidRDefault="00A350ED" w:rsidP="00A350ED">
      <w:pPr>
        <w:jc w:val="center"/>
      </w:pPr>
      <w:r>
        <w:rPr>
          <w:rFonts w:ascii="Times" w:hAnsi="Times"/>
          <w:color w:val="000000"/>
        </w:rPr>
        <w:lastRenderedPageBreak/>
        <w:t> </w:t>
      </w:r>
    </w:p>
    <w:p w:rsidR="00A350ED" w:rsidRDefault="00A350ED" w:rsidP="00A350ED">
      <w:pPr>
        <w:jc w:val="center"/>
      </w:pPr>
      <w:r>
        <w:rPr>
          <w:rFonts w:ascii="Times" w:hAnsi="Times"/>
          <w:noProof/>
          <w:color w:val="000000"/>
        </w:rPr>
        <w:drawing>
          <wp:inline distT="0" distB="0" distL="0" distR="0">
            <wp:extent cx="7353300" cy="4181475"/>
            <wp:effectExtent l="0" t="0" r="0" b="9525"/>
            <wp:docPr id="1" name="Picture 1" descr="cid:image002.jpg@01D3C151.7B7D30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3C151.7B7D30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353300" cy="4181475"/>
                    </a:xfrm>
                    <a:prstGeom prst="rect">
                      <a:avLst/>
                    </a:prstGeom>
                    <a:noFill/>
                    <a:ln>
                      <a:noFill/>
                    </a:ln>
                  </pic:spPr>
                </pic:pic>
              </a:graphicData>
            </a:graphic>
          </wp:inline>
        </w:drawing>
      </w:r>
    </w:p>
    <w:p w:rsidR="00A350ED" w:rsidRDefault="00A350ED" w:rsidP="00A350ED">
      <w:pPr>
        <w:jc w:val="center"/>
      </w:pPr>
      <w:r>
        <w:rPr>
          <w:rFonts w:ascii="Times" w:hAnsi="Times"/>
          <w:color w:val="000000"/>
        </w:rPr>
        <w:t xml:space="preserve">[Click </w:t>
      </w:r>
      <w:hyperlink r:id="rId15" w:history="1">
        <w:r>
          <w:rPr>
            <w:rStyle w:val="Hyperlink"/>
            <w:rFonts w:ascii="Times" w:hAnsi="Times"/>
          </w:rPr>
          <w:t>HERE</w:t>
        </w:r>
      </w:hyperlink>
      <w:r>
        <w:rPr>
          <w:rFonts w:ascii="Times" w:hAnsi="Times"/>
          <w:color w:val="000000"/>
        </w:rPr>
        <w:t xml:space="preserve"> or on the image above to watch the video.]</w:t>
      </w:r>
    </w:p>
    <w:p w:rsidR="00A350ED" w:rsidRDefault="00A350ED" w:rsidP="00A350ED">
      <w:pPr>
        <w:jc w:val="center"/>
      </w:pPr>
      <w:r>
        <w:rPr>
          <w:rFonts w:ascii="Times" w:hAnsi="Times"/>
          <w:color w:val="000000"/>
        </w:rPr>
        <w:t> </w:t>
      </w:r>
      <w:r>
        <w:rPr>
          <w:rFonts w:ascii="Times" w:hAnsi="Times"/>
          <w:color w:val="1F497D"/>
        </w:rPr>
        <w:t> </w:t>
      </w:r>
    </w:p>
    <w:p w:rsidR="00A350ED" w:rsidRDefault="00A350ED" w:rsidP="00A350ED">
      <w:r>
        <w:rPr>
          <w:rFonts w:ascii="Times" w:hAnsi="Times"/>
          <w:color w:val="000000"/>
          <w:shd w:val="clear" w:color="auto" w:fill="FFFFFF"/>
        </w:rPr>
        <w:t>In April of 2017, </w:t>
      </w:r>
      <w:hyperlink r:id="rId16" w:history="1">
        <w:r>
          <w:rPr>
            <w:rStyle w:val="Hyperlink"/>
            <w:rFonts w:ascii="Times" w:hAnsi="Times"/>
            <w:color w:val="954F72"/>
            <w:bdr w:val="none" w:sz="0" w:space="0" w:color="auto" w:frame="1"/>
            <w:shd w:val="clear" w:color="auto" w:fill="FFFFFF"/>
          </w:rPr>
          <w:t>Heller testified before a U.S. House of Representatives Energy and Commerce Subcommittee on Environment hearing on legislation to revive Yucca Mountain</w:t>
        </w:r>
      </w:hyperlink>
      <w:r>
        <w:rPr>
          <w:rFonts w:ascii="Times" w:hAnsi="Times"/>
          <w:color w:val="313131"/>
          <w:shd w:val="clear" w:color="auto" w:fill="FFFFFF"/>
        </w:rPr>
        <w:t>.</w:t>
      </w:r>
      <w:r>
        <w:rPr>
          <w:rStyle w:val="apple-converted-space"/>
          <w:rFonts w:ascii="Times" w:hAnsi="Times"/>
          <w:color w:val="313131"/>
          <w:shd w:val="clear" w:color="auto" w:fill="FFFFFF"/>
        </w:rPr>
        <w:t> </w:t>
      </w:r>
      <w:r>
        <w:rPr>
          <w:rFonts w:ascii="Times" w:hAnsi="Times"/>
          <w:color w:val="000000"/>
          <w:shd w:val="clear" w:color="auto" w:fill="FFFFFF"/>
        </w:rPr>
        <w:t>During the hearing, he urged the consideration of</w:t>
      </w:r>
      <w:r>
        <w:rPr>
          <w:rStyle w:val="apple-converted-space"/>
          <w:rFonts w:ascii="Times" w:hAnsi="Times"/>
          <w:color w:val="000000"/>
          <w:shd w:val="clear" w:color="auto" w:fill="FFFFFF"/>
        </w:rPr>
        <w:t> </w:t>
      </w:r>
      <w:hyperlink r:id="rId17" w:history="1">
        <w:r>
          <w:rPr>
            <w:rStyle w:val="Hyperlink"/>
            <w:rFonts w:ascii="Times" w:hAnsi="Times"/>
            <w:color w:val="954F72"/>
            <w:shd w:val="clear" w:color="auto" w:fill="FFFFFF"/>
          </w:rPr>
          <w:t>his Nuclear Waste Informed Consent Act</w:t>
        </w:r>
      </w:hyperlink>
      <w:r>
        <w:rPr>
          <w:rFonts w:ascii="Times" w:hAnsi="Times"/>
          <w:color w:val="000000"/>
          <w:shd w:val="clear" w:color="auto" w:fill="FFFFFF"/>
        </w:rPr>
        <w:t>, bipartisan legislation that permits the NRC to authorize construction of a nuclear waste repository only if the Secretary of Energy has secured written consent from the governor of the host state, affected units of local government, and affected Indian tribes.</w:t>
      </w:r>
    </w:p>
    <w:p w:rsidR="00A350ED" w:rsidRDefault="00A350ED" w:rsidP="00A350ED">
      <w:pPr>
        <w:jc w:val="center"/>
      </w:pPr>
      <w:r>
        <w:rPr>
          <w:rFonts w:ascii="Times" w:hAnsi="Times"/>
          <w:color w:val="1F497D"/>
        </w:rPr>
        <w:t> </w:t>
      </w:r>
    </w:p>
    <w:p w:rsidR="00A350ED" w:rsidRDefault="00A350ED" w:rsidP="00A350ED">
      <w:pPr>
        <w:jc w:val="center"/>
      </w:pPr>
      <w:r>
        <w:rPr>
          <w:rFonts w:ascii="Times" w:hAnsi="Times"/>
          <w:color w:val="000000"/>
        </w:rPr>
        <w:t>###</w:t>
      </w:r>
    </w:p>
    <w:p w:rsidR="00E80E31" w:rsidRDefault="00A350ED"/>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ED"/>
    <w:rsid w:val="00634C75"/>
    <w:rsid w:val="008E7022"/>
    <w:rsid w:val="00A350ED"/>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3866-31B3-4BE8-A1D1-ACC8BBF0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ED"/>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0ED"/>
    <w:rPr>
      <w:color w:val="0563C1"/>
      <w:u w:val="single"/>
    </w:rPr>
  </w:style>
  <w:style w:type="character" w:customStyle="1" w:styleId="apple-converted-space">
    <w:name w:val="apple-converted-space"/>
    <w:basedOn w:val="DefaultParagraphFont"/>
    <w:rsid w:val="00A3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8EF79DF1-BC92-4F29-88BC-A9FF5CD7312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pressreleases?ID=526CDC21-D0DB-40ED-AF19-7A3A737E9B98" TargetMode="External"/><Relationship Id="rId12" Type="http://schemas.openxmlformats.org/officeDocument/2006/relationships/hyperlink" Target="https://youtu.be/qIf4DeZgP2Q" TargetMode="External"/><Relationship Id="rId17" Type="http://schemas.openxmlformats.org/officeDocument/2006/relationships/hyperlink" Target="https://www.heller.senate.gov/public/index.cfm/pressreleases?ID=5D20600D-88C2-4BBE-9E9D-4A23006D0264" TargetMode="External"/><Relationship Id="rId2" Type="http://schemas.openxmlformats.org/officeDocument/2006/relationships/settings" Target="settings.xml"/><Relationship Id="rId16" Type="http://schemas.openxmlformats.org/officeDocument/2006/relationships/hyperlink" Target="https://www.heller.senate.gov/public/index.cfm/videos?ID=B6E5E92F-B192-4670-8DC8-44B025E09B84"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youtube.com/watch?v=qIf4DeZgP2Q&amp;feature=youtu.be" TargetMode="External"/><Relationship Id="rId5" Type="http://schemas.openxmlformats.org/officeDocument/2006/relationships/image" Target="cid:image001.png@01D3C153.C9DF7E70" TargetMode="External"/><Relationship Id="rId15" Type="http://schemas.openxmlformats.org/officeDocument/2006/relationships/hyperlink" Target="https://youtu.be/qIf4DeZgP2Q" TargetMode="External"/><Relationship Id="rId10" Type="http://schemas.openxmlformats.org/officeDocument/2006/relationships/hyperlink" Target="https://www.politicopro.com/energy/whiteboard/2018/03/simpson-no-go-from-senate-on-yucca-funding-in-omnibus-748331"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heller.senate.gov/public/index.cfm/pressreleases?ID=691E36A0-8C66-4C9F-B730-01AACAEA879A" TargetMode="External"/><Relationship Id="rId14" Type="http://schemas.openxmlformats.org/officeDocument/2006/relationships/image" Target="cid:image002.jpg@01D3C153.C9DF7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Company>United States Senate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2018-11-27T20:24:00Z</dcterms:created>
  <dcterms:modified xsi:type="dcterms:W3CDTF">2018-11-27T20:24:00Z</dcterms:modified>
</cp:coreProperties>
</file>